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66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lang w:val="en-US" w:eastAsia="zh-CN" w:bidi="ar"/>
        </w:rPr>
        <w:t>社会责任报告</w:t>
      </w:r>
    </w:p>
    <w:p w14:paraId="5C140F27">
      <w:pPr>
        <w:keepNext w:val="0"/>
        <w:keepLines w:val="0"/>
        <w:widowControl/>
        <w:suppressLineNumbers w:val="0"/>
        <w:pBdr>
          <w:top w:val="dotted" w:color="CCCCCC" w:sz="6" w:space="0"/>
          <w:left w:val="none" w:color="auto" w:sz="0" w:space="0"/>
          <w:bottom w:val="dotted" w:color="CCCCCC" w:sz="6" w:space="0"/>
          <w:right w:val="none" w:color="auto" w:sz="0" w:space="0"/>
        </w:pBdr>
        <w:spacing w:before="0" w:beforeAutospacing="0" w:after="450" w:afterAutospacing="0" w:line="450" w:lineRule="atLeast"/>
        <w:ind w:left="0" w:right="0" w:firstLine="0"/>
        <w:jc w:val="center"/>
        <w:rPr>
          <w:rFonts w:hint="eastAsia" w:ascii="微软雅黑" w:hAnsi="微软雅黑" w:eastAsia="微软雅黑" w:cs="微软雅黑"/>
          <w:b/>
          <w:bCs/>
          <w:i w:val="0"/>
          <w:iCs w:val="0"/>
          <w:caps w:val="0"/>
          <w:color w:val="auto"/>
          <w:spacing w:val="0"/>
          <w:sz w:val="18"/>
          <w:szCs w:val="18"/>
        </w:rPr>
      </w:pPr>
      <w:r>
        <w:rPr>
          <w:rFonts w:hint="eastAsia" w:ascii="微软雅黑" w:hAnsi="微软雅黑" w:eastAsia="微软雅黑" w:cs="微软雅黑"/>
          <w:b/>
          <w:bCs/>
          <w:i w:val="0"/>
          <w:iCs w:val="0"/>
          <w:caps w:val="0"/>
          <w:color w:val="auto"/>
          <w:spacing w:val="0"/>
          <w:kern w:val="0"/>
          <w:sz w:val="18"/>
          <w:szCs w:val="18"/>
          <w:lang w:val="en-US" w:eastAsia="zh-CN" w:bidi="ar"/>
        </w:rPr>
        <w:t>时间：2025-03-28</w:t>
      </w:r>
      <w:bookmarkStart w:id="0" w:name="_GoBack"/>
      <w:bookmarkEnd w:id="0"/>
      <w:r>
        <w:rPr>
          <w:rFonts w:hint="eastAsia" w:ascii="微软雅黑" w:hAnsi="微软雅黑" w:eastAsia="微软雅黑" w:cs="微软雅黑"/>
          <w:b/>
          <w:bCs/>
          <w:i w:val="0"/>
          <w:iCs w:val="0"/>
          <w:caps w:val="0"/>
          <w:color w:val="auto"/>
          <w:spacing w:val="0"/>
          <w:kern w:val="0"/>
          <w:sz w:val="18"/>
          <w:szCs w:val="18"/>
          <w:lang w:val="en-US" w:eastAsia="zh-CN" w:bidi="ar"/>
        </w:rPr>
        <w:t>　来源：　　　作者：浙江鸿昌铝业有限公司</w:t>
      </w:r>
    </w:p>
    <w:p w14:paraId="0DBCB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66E3A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浙江鸿昌铝业有限公司</w:t>
      </w:r>
    </w:p>
    <w:p w14:paraId="79E05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202</w:t>
      </w:r>
      <w:r>
        <w:rPr>
          <w:rFonts w:hint="eastAsia" w:ascii="微软雅黑" w:hAnsi="微软雅黑" w:eastAsia="微软雅黑" w:cs="微软雅黑"/>
          <w:b/>
          <w:bCs/>
          <w:i w:val="0"/>
          <w:iCs w:val="0"/>
          <w:caps w:val="0"/>
          <w:color w:val="auto"/>
          <w:spacing w:val="0"/>
          <w:sz w:val="21"/>
          <w:szCs w:val="21"/>
          <w:lang w:val="en-US" w:eastAsia="zh-CN"/>
        </w:rPr>
        <w:t>5</w:t>
      </w:r>
      <w:r>
        <w:rPr>
          <w:rFonts w:hint="eastAsia" w:ascii="微软雅黑" w:hAnsi="微软雅黑" w:eastAsia="微软雅黑" w:cs="微软雅黑"/>
          <w:b/>
          <w:bCs/>
          <w:i w:val="0"/>
          <w:iCs w:val="0"/>
          <w:caps w:val="0"/>
          <w:color w:val="auto"/>
          <w:spacing w:val="0"/>
          <w:sz w:val="21"/>
          <w:szCs w:val="21"/>
        </w:rPr>
        <w:t>年“浙江制造”认证</w:t>
      </w:r>
    </w:p>
    <w:p w14:paraId="78C66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10E91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102BE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社会责任报告</w:t>
      </w:r>
    </w:p>
    <w:p w14:paraId="29BAC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21E18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5BEA8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718B8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5BCBA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37A2C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2F8E5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3C218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p>
    <w:p w14:paraId="29D2D3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浙江鸿昌铝业有限公司</w:t>
      </w:r>
    </w:p>
    <w:p w14:paraId="71A28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color w:val="auto"/>
          <w:sz w:val="21"/>
          <w:szCs w:val="21"/>
        </w:rPr>
      </w:pPr>
      <w:r>
        <w:rPr>
          <w:rFonts w:hint="eastAsia" w:ascii="微软雅黑" w:hAnsi="微软雅黑" w:eastAsia="微软雅黑" w:cs="微软雅黑"/>
          <w:b/>
          <w:bCs/>
          <w:i w:val="0"/>
          <w:iCs w:val="0"/>
          <w:caps w:val="0"/>
          <w:color w:val="auto"/>
          <w:spacing w:val="0"/>
          <w:sz w:val="21"/>
          <w:szCs w:val="21"/>
        </w:rPr>
        <w:t>202</w:t>
      </w:r>
      <w:r>
        <w:rPr>
          <w:rFonts w:hint="eastAsia" w:ascii="微软雅黑" w:hAnsi="微软雅黑" w:eastAsia="微软雅黑" w:cs="微软雅黑"/>
          <w:b/>
          <w:bCs/>
          <w:i w:val="0"/>
          <w:iCs w:val="0"/>
          <w:caps w:val="0"/>
          <w:color w:val="auto"/>
          <w:spacing w:val="0"/>
          <w:sz w:val="21"/>
          <w:szCs w:val="21"/>
          <w:lang w:val="en-US" w:eastAsia="zh-CN"/>
        </w:rPr>
        <w:t>5</w:t>
      </w:r>
      <w:r>
        <w:rPr>
          <w:rFonts w:hint="eastAsia" w:ascii="微软雅黑" w:hAnsi="微软雅黑" w:eastAsia="微软雅黑" w:cs="微软雅黑"/>
          <w:b/>
          <w:bCs/>
          <w:i w:val="0"/>
          <w:iCs w:val="0"/>
          <w:caps w:val="0"/>
          <w:color w:val="auto"/>
          <w:spacing w:val="0"/>
          <w:sz w:val="21"/>
          <w:szCs w:val="21"/>
        </w:rPr>
        <w:t>年</w:t>
      </w:r>
      <w:r>
        <w:rPr>
          <w:rFonts w:hint="eastAsia" w:ascii="微软雅黑" w:hAnsi="微软雅黑" w:eastAsia="微软雅黑" w:cs="微软雅黑"/>
          <w:b/>
          <w:bCs/>
          <w:i w:val="0"/>
          <w:iCs w:val="0"/>
          <w:caps w:val="0"/>
          <w:color w:val="auto"/>
          <w:spacing w:val="0"/>
          <w:sz w:val="21"/>
          <w:szCs w:val="21"/>
          <w:lang w:val="en-US" w:eastAsia="zh-CN"/>
        </w:rPr>
        <w:t>3</w:t>
      </w:r>
      <w:r>
        <w:rPr>
          <w:rFonts w:hint="eastAsia" w:ascii="微软雅黑" w:hAnsi="微软雅黑" w:eastAsia="微软雅黑" w:cs="微软雅黑"/>
          <w:b/>
          <w:bCs/>
          <w:i w:val="0"/>
          <w:iCs w:val="0"/>
          <w:caps w:val="0"/>
          <w:color w:val="auto"/>
          <w:spacing w:val="0"/>
          <w:sz w:val="21"/>
          <w:szCs w:val="21"/>
        </w:rPr>
        <w:t>月</w:t>
      </w:r>
    </w:p>
    <w:p w14:paraId="57744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b/>
          <w:bCs/>
          <w:color w:val="auto"/>
          <w:sz w:val="21"/>
          <w:szCs w:val="21"/>
        </w:rPr>
      </w:pPr>
    </w:p>
    <w:p w14:paraId="39264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5B33E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7685E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sz w:val="21"/>
          <w:szCs w:val="21"/>
        </w:rPr>
        <w:t> </w:t>
      </w:r>
    </w:p>
    <w:p w14:paraId="504F1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992" w:firstLineChars="1900"/>
        <w:rPr>
          <w:color w:val="auto"/>
          <w:sz w:val="21"/>
          <w:szCs w:val="21"/>
        </w:rPr>
      </w:pPr>
      <w:r>
        <w:rPr>
          <w:rFonts w:hint="eastAsia" w:ascii="微软雅黑" w:hAnsi="微软雅黑" w:eastAsia="微软雅黑" w:cs="微软雅黑"/>
          <w:b/>
          <w:bCs/>
          <w:i w:val="0"/>
          <w:iCs w:val="0"/>
          <w:caps w:val="0"/>
          <w:color w:val="auto"/>
          <w:spacing w:val="0"/>
          <w:sz w:val="21"/>
          <w:szCs w:val="21"/>
        </w:rPr>
        <w:t>目 录</w:t>
      </w:r>
    </w:p>
    <w:p w14:paraId="56BC5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 </w:t>
      </w:r>
    </w:p>
    <w:p w14:paraId="364A1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第一部分：公司概况</w:t>
      </w:r>
    </w:p>
    <w:p w14:paraId="55D11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1. 公司简介</w:t>
      </w:r>
    </w:p>
    <w:p w14:paraId="3535E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2. 公司文化</w:t>
      </w:r>
    </w:p>
    <w:p w14:paraId="02205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3. 公司荣誉</w:t>
      </w:r>
    </w:p>
    <w:p w14:paraId="37C31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4. 公司战略</w:t>
      </w:r>
    </w:p>
    <w:p w14:paraId="64405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第二部分：公司治理</w:t>
      </w:r>
    </w:p>
    <w:p w14:paraId="742C1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1. 组织架构</w:t>
      </w:r>
    </w:p>
    <w:p w14:paraId="06AB4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2. 公司管理</w:t>
      </w:r>
    </w:p>
    <w:p w14:paraId="5FB8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3. 财务责任</w:t>
      </w:r>
    </w:p>
    <w:p w14:paraId="1F33F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4. 独立审计</w:t>
      </w:r>
    </w:p>
    <w:p w14:paraId="14ABE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5. 相关方利益保护</w:t>
      </w:r>
    </w:p>
    <w:p w14:paraId="54099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第三部分：环境保护</w:t>
      </w:r>
    </w:p>
    <w:p w14:paraId="7D9EA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第四部分：职业健康安全管理</w:t>
      </w:r>
    </w:p>
    <w:p w14:paraId="5B758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第五部分：员工发展</w:t>
      </w:r>
    </w:p>
    <w:p w14:paraId="0913E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1. 员工主动参与</w:t>
      </w:r>
    </w:p>
    <w:p w14:paraId="31A3D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2. 群众性改进与创新</w:t>
      </w:r>
    </w:p>
    <w:p w14:paraId="4C301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3. 员工的学习和发展</w:t>
      </w:r>
    </w:p>
    <w:p w14:paraId="1803A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4. 员工的职业生涯规划</w:t>
      </w:r>
    </w:p>
    <w:p w14:paraId="06187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5. 员工权益保护</w:t>
      </w:r>
    </w:p>
    <w:p w14:paraId="35CE2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第六部分：服务社会</w:t>
      </w:r>
    </w:p>
    <w:p w14:paraId="4415C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b/>
          <w:bCs/>
          <w:i w:val="0"/>
          <w:iCs w:val="0"/>
          <w:caps w:val="0"/>
          <w:color w:val="auto"/>
          <w:spacing w:val="0"/>
          <w:sz w:val="21"/>
          <w:szCs w:val="21"/>
        </w:rPr>
        <w:t>报告说明</w:t>
      </w:r>
    </w:p>
    <w:p w14:paraId="08F8B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1、报告范围</w:t>
      </w:r>
    </w:p>
    <w:p w14:paraId="6E96F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本报告是浙江鸿昌铝业有限公司发布的</w:t>
      </w:r>
      <w:r>
        <w:rPr>
          <w:rFonts w:hint="eastAsia" w:ascii="微软雅黑" w:hAnsi="微软雅黑" w:eastAsia="微软雅黑" w:cs="微软雅黑"/>
          <w:i w:val="0"/>
          <w:iCs w:val="0"/>
          <w:caps w:val="0"/>
          <w:color w:val="auto"/>
          <w:spacing w:val="0"/>
          <w:sz w:val="21"/>
          <w:szCs w:val="21"/>
          <w:lang w:val="en-US" w:eastAsia="zh-CN"/>
        </w:rPr>
        <w:t>2024年度</w:t>
      </w:r>
      <w:r>
        <w:rPr>
          <w:rFonts w:hint="eastAsia" w:ascii="微软雅黑" w:hAnsi="微软雅黑" w:eastAsia="微软雅黑" w:cs="微软雅黑"/>
          <w:i w:val="0"/>
          <w:iCs w:val="0"/>
          <w:caps w:val="0"/>
          <w:color w:val="auto"/>
          <w:spacing w:val="0"/>
          <w:sz w:val="21"/>
          <w:szCs w:val="21"/>
        </w:rPr>
        <w:t>企业社会责任报告，信息和数据主要涵盖了2</w:t>
      </w:r>
      <w:r>
        <w:rPr>
          <w:rFonts w:hint="eastAsia" w:ascii="微软雅黑" w:hAnsi="微软雅黑" w:eastAsia="微软雅黑" w:cs="微软雅黑"/>
          <w:i w:val="0"/>
          <w:iCs w:val="0"/>
          <w:caps w:val="0"/>
          <w:color w:val="auto"/>
          <w:spacing w:val="0"/>
          <w:sz w:val="21"/>
          <w:szCs w:val="21"/>
          <w:lang w:val="en-US" w:eastAsia="zh-CN"/>
        </w:rPr>
        <w:t>024</w:t>
      </w:r>
      <w:r>
        <w:rPr>
          <w:rFonts w:hint="eastAsia" w:ascii="微软雅黑" w:hAnsi="微软雅黑" w:eastAsia="微软雅黑" w:cs="微软雅黑"/>
          <w:i w:val="0"/>
          <w:iCs w:val="0"/>
          <w:caps w:val="0"/>
          <w:color w:val="auto"/>
          <w:spacing w:val="0"/>
          <w:sz w:val="21"/>
          <w:szCs w:val="21"/>
        </w:rPr>
        <w:t>年1月1日至</w:t>
      </w:r>
      <w:r>
        <w:rPr>
          <w:rFonts w:hint="eastAsia" w:ascii="微软雅黑" w:hAnsi="微软雅黑" w:eastAsia="微软雅黑" w:cs="微软雅黑"/>
          <w:i w:val="0"/>
          <w:iCs w:val="0"/>
          <w:caps w:val="0"/>
          <w:color w:val="auto"/>
          <w:spacing w:val="0"/>
          <w:sz w:val="21"/>
          <w:szCs w:val="21"/>
          <w:lang w:val="en-US" w:eastAsia="zh-CN"/>
        </w:rPr>
        <w:t>2024年12月31日止，</w:t>
      </w:r>
      <w:r>
        <w:rPr>
          <w:rFonts w:hint="eastAsia" w:ascii="微软雅黑" w:hAnsi="微软雅黑" w:eastAsia="微软雅黑" w:cs="微软雅黑"/>
          <w:i w:val="0"/>
          <w:iCs w:val="0"/>
          <w:caps w:val="0"/>
          <w:color w:val="auto"/>
          <w:spacing w:val="0"/>
          <w:sz w:val="21"/>
          <w:szCs w:val="21"/>
        </w:rPr>
        <w:t>公司各项企业社会责任实践活动，基于报告的延续性和对比性，部分数据和信息追溯到201</w:t>
      </w:r>
      <w:r>
        <w:rPr>
          <w:rFonts w:hint="eastAsia" w:ascii="微软雅黑" w:hAnsi="微软雅黑" w:eastAsia="微软雅黑" w:cs="微软雅黑"/>
          <w:i w:val="0"/>
          <w:iCs w:val="0"/>
          <w:caps w:val="0"/>
          <w:color w:val="auto"/>
          <w:spacing w:val="0"/>
          <w:sz w:val="21"/>
          <w:szCs w:val="21"/>
          <w:lang w:val="en-US" w:eastAsia="zh-CN"/>
        </w:rPr>
        <w:t>9</w:t>
      </w:r>
      <w:r>
        <w:rPr>
          <w:rFonts w:hint="eastAsia" w:ascii="微软雅黑" w:hAnsi="微软雅黑" w:eastAsia="微软雅黑" w:cs="微软雅黑"/>
          <w:i w:val="0"/>
          <w:iCs w:val="0"/>
          <w:caps w:val="0"/>
          <w:color w:val="auto"/>
          <w:spacing w:val="0"/>
          <w:sz w:val="21"/>
          <w:szCs w:val="21"/>
        </w:rPr>
        <w:t>年。 </w:t>
      </w:r>
    </w:p>
    <w:p w14:paraId="3B806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2、编制原则</w:t>
      </w:r>
    </w:p>
    <w:p w14:paraId="6E8C9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本报告基本按照利益相关方参与原则、可持续发展背景原则、实质性原则、完整性原则、可比性原则、准确性原则、时效性原则、清晰性原则和可靠性原则进行编制。</w:t>
      </w:r>
    </w:p>
    <w:p w14:paraId="7052D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3、内容选择</w:t>
      </w:r>
    </w:p>
    <w:p w14:paraId="2735F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报告选取了公司概况、公司治理、环境保护、职业健康安全管理、员工发展、服务社会等方面的内容。</w:t>
      </w:r>
    </w:p>
    <w:p w14:paraId="146BF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本报告的数据和信息收集工作按公司现有工作流程进行。</w:t>
      </w:r>
    </w:p>
    <w:p w14:paraId="44F1F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4、指代说明</w:t>
      </w:r>
    </w:p>
    <w:p w14:paraId="5DE39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报告中浙江鸿昌铝业有限公司简称为 “鸿昌” </w:t>
      </w:r>
    </w:p>
    <w:p w14:paraId="7BAAD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5、本报告版权归浙江鸿昌铝业有限公司所有。</w:t>
      </w:r>
    </w:p>
    <w:p w14:paraId="55158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7E288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6F0A1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5B562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5E3F1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 </w:t>
      </w:r>
    </w:p>
    <w:p w14:paraId="42CAE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b/>
          <w:bCs/>
          <w:i w:val="0"/>
          <w:iCs w:val="0"/>
          <w:caps w:val="0"/>
          <w:color w:val="auto"/>
          <w:spacing w:val="0"/>
          <w:sz w:val="21"/>
          <w:szCs w:val="21"/>
        </w:rPr>
      </w:pPr>
    </w:p>
    <w:p w14:paraId="50CD1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b/>
          <w:bCs/>
          <w:i w:val="0"/>
          <w:iCs w:val="0"/>
          <w:caps w:val="0"/>
          <w:color w:val="auto"/>
          <w:spacing w:val="0"/>
          <w:sz w:val="21"/>
          <w:szCs w:val="21"/>
        </w:rPr>
      </w:pPr>
    </w:p>
    <w:p w14:paraId="43A1F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62" w:firstLineChars="1600"/>
        <w:rPr>
          <w:color w:val="auto"/>
          <w:sz w:val="21"/>
          <w:szCs w:val="21"/>
        </w:rPr>
      </w:pPr>
      <w:r>
        <w:rPr>
          <w:rFonts w:hint="eastAsia" w:ascii="微软雅黑" w:hAnsi="微软雅黑" w:eastAsia="微软雅黑" w:cs="微软雅黑"/>
          <w:b/>
          <w:bCs/>
          <w:i w:val="0"/>
          <w:iCs w:val="0"/>
          <w:caps w:val="0"/>
          <w:color w:val="auto"/>
          <w:spacing w:val="0"/>
          <w:sz w:val="21"/>
          <w:szCs w:val="21"/>
        </w:rPr>
        <w:t>公司概况</w:t>
      </w:r>
    </w:p>
    <w:p w14:paraId="308F3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一、</w:t>
      </w:r>
      <w:r>
        <w:rPr>
          <w:rFonts w:hint="eastAsia" w:ascii="微软雅黑" w:hAnsi="微软雅黑" w:eastAsia="微软雅黑" w:cs="微软雅黑"/>
          <w:b/>
          <w:bCs/>
          <w:i w:val="0"/>
          <w:iCs w:val="0"/>
          <w:caps w:val="0"/>
          <w:color w:val="auto"/>
          <w:spacing w:val="0"/>
          <w:sz w:val="21"/>
          <w:szCs w:val="21"/>
        </w:rPr>
        <w:t>公司简介</w:t>
      </w:r>
    </w:p>
    <w:p w14:paraId="6B3E7321">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浙江鸿昌铝业有限公司，创立于2013年7月，注册资本壹亿元，是一家专注于建筑铝合金和工业铝合金研发、生产和销售的高新技术企业，年生产能力10万吨以上，产品广泛用于建筑、机械制造、太阳能电池板、交通运输等领域。</w:t>
      </w:r>
    </w:p>
    <w:p w14:paraId="0CB091FE">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鸿昌始终专注于建筑铝合金、工业铝合金的研发和生产，自创立以来，相继导入质量、环境、职业健康、知识产权、能源等管理体系，通过有效实施和持续改进提升综合实力，取得”浙江制造认证”、“中国绿色建材产品认证”；公司研发中心被评定为鸿昌铝业高性能铝型材省级高新技术企业研究开发中心，并拥有市级博士创新工作站、劳模工匠创新工作室，技能大师工作室；获评“浙江省守合同重信用AAA级企业”、“浙江省专精特新中小企业”、“浙江省上云标杆企业”、“浙江省工业互联网平台创建”、“浙江省商标品牌示范企业”、“浙江省专利示范企业”等荣誉。</w:t>
      </w:r>
    </w:p>
    <w:p w14:paraId="02BAF273">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公司历经10年的发展，积累了丰富的行业经营、管理经验，建立了包括原材料采购、研发设计、模具开发、生产制造到成品配送等一整套完整的制造服务体系和供应链网络。2024年公司在原有基础上，投资15亿元，新增建筑面积超31万平方米的铝合金生产基地，新增产能25万吨以上，秉持低碳、环保、可持续发展理念，以数据驱动生产流程，以数字化设计、智能化生产、绿色化制造、数字化管理、安全化管控为基础，以网络化协同、个性化定制、服务化延伸等新模式为特征，致力于建设成为全球一流的铝合金制造和科研基地为目标的现代化工厂。</w:t>
      </w:r>
    </w:p>
    <w:p w14:paraId="6B7A9212">
      <w:pPr>
        <w:keepNext w:val="0"/>
        <w:keepLines w:val="0"/>
        <w:pageBreakBefore w:val="0"/>
        <w:widowControl w:val="0"/>
        <w:kinsoku/>
        <w:wordWrap/>
        <w:overflowPunct/>
        <w:topLinePunct w:val="0"/>
        <w:autoSpaceDE/>
        <w:autoSpaceDN/>
        <w:bidi w:val="0"/>
        <w:adjustRightInd/>
        <w:snapToGrid/>
        <w:spacing w:line="450" w:lineRule="atLeast"/>
        <w:ind w:firstLine="417" w:firstLineChars="199"/>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鸿昌秉承精益求精、锐意创新、与时俱进的指导思想和以人为本的理念，不断推进现代化管理制度，弘扬企业文化、塑公司形象，创一流品牌、竭诚服务全球客商。</w:t>
      </w:r>
    </w:p>
    <w:p w14:paraId="43A05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20" w:firstLineChars="200"/>
        <w:rPr>
          <w:color w:val="auto"/>
          <w:sz w:val="21"/>
          <w:szCs w:val="21"/>
        </w:rPr>
      </w:pPr>
      <w:r>
        <w:rPr>
          <w:rFonts w:hint="eastAsia" w:ascii="微软雅黑" w:hAnsi="微软雅黑" w:eastAsia="微软雅黑" w:cs="微软雅黑"/>
          <w:i w:val="0"/>
          <w:iCs w:val="0"/>
          <w:caps w:val="0"/>
          <w:color w:val="auto"/>
          <w:spacing w:val="0"/>
          <w:sz w:val="21"/>
          <w:szCs w:val="21"/>
        </w:rPr>
        <w:t>地址：浙江省湖州市湖织大道3558号</w:t>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电话：0572-3226388</w:t>
      </w:r>
    </w:p>
    <w:p w14:paraId="79DF4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color w:val="auto"/>
          <w:sz w:val="21"/>
          <w:szCs w:val="21"/>
        </w:rPr>
      </w:pPr>
      <w:r>
        <w:rPr>
          <w:rFonts w:hint="eastAsia" w:ascii="微软雅黑" w:hAnsi="微软雅黑" w:eastAsia="微软雅黑" w:cs="微软雅黑"/>
          <w:b/>
          <w:bCs/>
          <w:i w:val="0"/>
          <w:iCs w:val="0"/>
          <w:caps w:val="0"/>
          <w:color w:val="auto"/>
          <w:spacing w:val="0"/>
          <w:sz w:val="21"/>
          <w:szCs w:val="21"/>
        </w:rPr>
        <w:t>二、公司文化</w:t>
      </w:r>
    </w:p>
    <w:p w14:paraId="563AD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创建于2013年7月，经过十多年的磨合、历练、发展形成了一支诚信务实、团结进取的高层领导团队。公司以绿色环保、科技创新为导向；以高品质、高服务、高附加值、多元化为发展思路，充分依靠自身领先的技术力量，结合多年的研究成果和专利技术，已发展成为型材行业知名企业。公司自创建以来，始终坚持“以人为本，共同发展，共享成果”的核心价值观，重视团队建设及企业文化建设，积极营造良好的工作氛围和生活环境，提升企业的凝聚力和向心力，同时确立了公司的愿景、使命、核心价值观为：</w:t>
      </w:r>
    </w:p>
    <w:p w14:paraId="577B9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w:t>
      </w:r>
      <w:r>
        <w:rPr>
          <w:rFonts w:hint="eastAsia" w:ascii="微软雅黑" w:hAnsi="微软雅黑" w:eastAsia="微软雅黑" w:cs="微软雅黑"/>
          <w:b/>
          <w:bCs/>
          <w:i w:val="0"/>
          <w:iCs w:val="0"/>
          <w:caps w:val="0"/>
          <w:color w:val="auto"/>
          <w:spacing w:val="0"/>
          <w:sz w:val="21"/>
          <w:szCs w:val="21"/>
        </w:rPr>
        <w:t>愿景</w:t>
      </w:r>
      <w:r>
        <w:rPr>
          <w:rFonts w:hint="eastAsia" w:ascii="微软雅黑" w:hAnsi="微软雅黑" w:eastAsia="微软雅黑" w:cs="微软雅黑"/>
          <w:i w:val="0"/>
          <w:iCs w:val="0"/>
          <w:caps w:val="0"/>
          <w:color w:val="auto"/>
          <w:spacing w:val="0"/>
          <w:sz w:val="21"/>
          <w:szCs w:val="21"/>
        </w:rPr>
        <w:t>：共造一流产品，同创一流企业；</w:t>
      </w:r>
    </w:p>
    <w:p w14:paraId="3F2B5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w:t>
      </w:r>
      <w:r>
        <w:rPr>
          <w:rFonts w:hint="eastAsia" w:ascii="微软雅黑" w:hAnsi="微软雅黑" w:eastAsia="微软雅黑" w:cs="微软雅黑"/>
          <w:b/>
          <w:bCs/>
          <w:i w:val="0"/>
          <w:iCs w:val="0"/>
          <w:caps w:val="0"/>
          <w:color w:val="auto"/>
          <w:spacing w:val="0"/>
          <w:sz w:val="21"/>
          <w:szCs w:val="21"/>
        </w:rPr>
        <w:t>使命</w:t>
      </w:r>
      <w:r>
        <w:rPr>
          <w:rFonts w:hint="eastAsia" w:ascii="微软雅黑" w:hAnsi="微软雅黑" w:eastAsia="微软雅黑" w:cs="微软雅黑"/>
          <w:i w:val="0"/>
          <w:iCs w:val="0"/>
          <w:caps w:val="0"/>
          <w:color w:val="auto"/>
          <w:spacing w:val="0"/>
          <w:sz w:val="21"/>
          <w:szCs w:val="21"/>
        </w:rPr>
        <w:t>：致力于绿色能源，创建生态文明；</w:t>
      </w:r>
    </w:p>
    <w:p w14:paraId="227DB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w:t>
      </w:r>
      <w:r>
        <w:rPr>
          <w:rFonts w:hint="eastAsia" w:ascii="微软雅黑" w:hAnsi="微软雅黑" w:eastAsia="微软雅黑" w:cs="微软雅黑"/>
          <w:b/>
          <w:bCs/>
          <w:i w:val="0"/>
          <w:iCs w:val="0"/>
          <w:caps w:val="0"/>
          <w:color w:val="auto"/>
          <w:spacing w:val="0"/>
          <w:sz w:val="21"/>
          <w:szCs w:val="21"/>
        </w:rPr>
        <w:t>核心价值观</w:t>
      </w:r>
      <w:r>
        <w:rPr>
          <w:rFonts w:hint="eastAsia" w:ascii="微软雅黑" w:hAnsi="微软雅黑" w:eastAsia="微软雅黑" w:cs="微软雅黑"/>
          <w:i w:val="0"/>
          <w:iCs w:val="0"/>
          <w:caps w:val="0"/>
          <w:color w:val="auto"/>
          <w:spacing w:val="0"/>
          <w:sz w:val="21"/>
          <w:szCs w:val="21"/>
        </w:rPr>
        <w:t>：以人为本，共同发展，共享成果。</w:t>
      </w:r>
    </w:p>
    <w:p w14:paraId="0DFE2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color w:val="auto"/>
          <w:sz w:val="21"/>
          <w:szCs w:val="21"/>
        </w:rPr>
      </w:pPr>
      <w:r>
        <w:rPr>
          <w:rFonts w:hint="eastAsia" w:ascii="微软雅黑" w:hAnsi="微软雅黑" w:eastAsia="微软雅黑" w:cs="微软雅黑"/>
          <w:i w:val="0"/>
          <w:iCs w:val="0"/>
          <w:caps w:val="0"/>
          <w:color w:val="auto"/>
          <w:spacing w:val="0"/>
          <w:sz w:val="21"/>
          <w:szCs w:val="21"/>
        </w:rPr>
        <w:t>       为了加强质量、环境及职业健康安全管理，承担社会责任，公司导入了以</w:t>
      </w: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ISO9001为标准的质量管理体系、以ISO14001为标准的环境管理体系和以ISO45001为标准的职</w:t>
      </w:r>
      <w:r>
        <w:rPr>
          <w:rFonts w:hint="eastAsia" w:ascii="微软雅黑" w:hAnsi="微软雅黑" w:eastAsia="微软雅黑" w:cs="微软雅黑"/>
          <w:i w:val="0"/>
          <w:iCs w:val="0"/>
          <w:caps w:val="0"/>
          <w:color w:val="auto"/>
          <w:spacing w:val="0"/>
          <w:sz w:val="21"/>
          <w:szCs w:val="21"/>
        </w:rPr>
        <w:t>业健康安全管理体系，对质量、环境、职业健康安全、社会责任、知识产权等建立、实施了系统化的管理，并分别通过了第三方认证。</w:t>
      </w:r>
    </w:p>
    <w:p w14:paraId="08F80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000000" w:themeColor="text1"/>
          <w:sz w:val="21"/>
          <w:szCs w:val="21"/>
          <w14:textFill>
            <w14:solidFill>
              <w14:schemeClr w14:val="tx1"/>
            </w14:solidFill>
          </w14:textFill>
        </w:rPr>
      </w:pPr>
      <w:r>
        <w:rPr>
          <w:rFonts w:hint="eastAsia" w:ascii="微软雅黑" w:hAnsi="微软雅黑" w:eastAsia="微软雅黑" w:cs="微软雅黑"/>
          <w:b/>
          <w:bCs/>
          <w:i w:val="0"/>
          <w:iCs w:val="0"/>
          <w:caps w:val="0"/>
          <w:color w:val="auto"/>
          <w:spacing w:val="0"/>
          <w:sz w:val="21"/>
          <w:szCs w:val="21"/>
        </w:rPr>
        <w:t>三、</w:t>
      </w:r>
      <w:r>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t>公司省近年获得的荣誉</w:t>
      </w:r>
    </w:p>
    <w:tbl>
      <w:tblPr>
        <w:tblStyle w:val="3"/>
        <w:tblW w:w="9204" w:type="dxa"/>
        <w:tblCellSpacing w:w="0"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4201"/>
        <w:gridCol w:w="900"/>
        <w:gridCol w:w="3578"/>
      </w:tblGrid>
      <w:tr w14:paraId="4AD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800080"/>
            <w:vAlign w:val="center"/>
          </w:tcPr>
          <w:p w14:paraId="510EB33F">
            <w:pPr>
              <w:widowControl/>
              <w:spacing w:line="360" w:lineRule="auto"/>
              <w:jc w:val="center"/>
              <w:rPr>
                <w:color w:val="auto"/>
                <w:sz w:val="21"/>
                <w:szCs w:val="21"/>
              </w:rPr>
            </w:pPr>
            <w:r>
              <w:rPr>
                <w:rFonts w:hint="eastAsia" w:ascii="宋体" w:hAnsi="宋体"/>
                <w:b/>
                <w:kern w:val="0"/>
                <w:sz w:val="24"/>
              </w:rPr>
              <w:t>序号</w:t>
            </w:r>
          </w:p>
        </w:tc>
        <w:tc>
          <w:tcPr>
            <w:tcW w:w="4201" w:type="dxa"/>
            <w:tcBorders>
              <w:top w:val="single" w:color="auto" w:sz="8" w:space="0"/>
              <w:left w:val="single" w:color="auto" w:sz="8" w:space="0"/>
              <w:bottom w:val="single" w:color="auto" w:sz="8" w:space="0"/>
              <w:right w:val="single" w:color="auto" w:sz="8" w:space="0"/>
            </w:tcBorders>
            <w:shd w:val="clear" w:color="auto" w:fill="800080"/>
            <w:vAlign w:val="center"/>
          </w:tcPr>
          <w:p w14:paraId="71568157">
            <w:pPr>
              <w:widowControl/>
              <w:spacing w:line="360" w:lineRule="auto"/>
              <w:jc w:val="center"/>
              <w:rPr>
                <w:color w:val="auto"/>
                <w:sz w:val="21"/>
                <w:szCs w:val="21"/>
              </w:rPr>
            </w:pPr>
            <w:r>
              <w:rPr>
                <w:rFonts w:hint="eastAsia" w:ascii="宋体" w:hAnsi="宋体"/>
                <w:b/>
                <w:kern w:val="0"/>
                <w:sz w:val="24"/>
              </w:rPr>
              <w:t>获奖名称</w:t>
            </w:r>
          </w:p>
        </w:tc>
        <w:tc>
          <w:tcPr>
            <w:tcW w:w="900" w:type="dxa"/>
            <w:tcBorders>
              <w:top w:val="single" w:color="auto" w:sz="8" w:space="0"/>
              <w:left w:val="single" w:color="auto" w:sz="8" w:space="0"/>
              <w:bottom w:val="single" w:color="auto" w:sz="8" w:space="0"/>
              <w:right w:val="single" w:color="auto" w:sz="8" w:space="0"/>
            </w:tcBorders>
            <w:shd w:val="clear" w:color="auto" w:fill="800080"/>
            <w:vAlign w:val="center"/>
          </w:tcPr>
          <w:p w14:paraId="0B072EB7">
            <w:pPr>
              <w:widowControl/>
              <w:spacing w:line="360" w:lineRule="auto"/>
              <w:jc w:val="center"/>
              <w:rPr>
                <w:color w:val="auto"/>
                <w:sz w:val="21"/>
                <w:szCs w:val="21"/>
              </w:rPr>
            </w:pPr>
            <w:r>
              <w:rPr>
                <w:rFonts w:hint="eastAsia" w:ascii="宋体" w:hAnsi="宋体"/>
                <w:b/>
                <w:kern w:val="0"/>
                <w:sz w:val="24"/>
              </w:rPr>
              <w:t>时间</w:t>
            </w:r>
          </w:p>
        </w:tc>
        <w:tc>
          <w:tcPr>
            <w:tcW w:w="3578" w:type="dxa"/>
            <w:tcBorders>
              <w:top w:val="single" w:color="auto" w:sz="8" w:space="0"/>
              <w:left w:val="single" w:color="auto" w:sz="8" w:space="0"/>
              <w:bottom w:val="single" w:color="auto" w:sz="8" w:space="0"/>
              <w:right w:val="single" w:color="auto" w:sz="8" w:space="0"/>
            </w:tcBorders>
            <w:shd w:val="clear" w:color="auto" w:fill="800080"/>
            <w:vAlign w:val="center"/>
          </w:tcPr>
          <w:p w14:paraId="233FE27D">
            <w:pPr>
              <w:widowControl/>
              <w:spacing w:line="360" w:lineRule="auto"/>
              <w:jc w:val="center"/>
              <w:rPr>
                <w:color w:val="auto"/>
                <w:sz w:val="21"/>
                <w:szCs w:val="21"/>
              </w:rPr>
            </w:pPr>
            <w:r>
              <w:rPr>
                <w:rFonts w:hint="eastAsia" w:ascii="宋体" w:hAnsi="宋体"/>
                <w:b/>
                <w:kern w:val="0"/>
                <w:sz w:val="24"/>
              </w:rPr>
              <w:t>颁奖部门</w:t>
            </w:r>
          </w:p>
        </w:tc>
      </w:tr>
      <w:tr w14:paraId="3BEE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694D9BAE">
            <w:pPr>
              <w:widowControl/>
              <w:spacing w:line="240" w:lineRule="auto"/>
              <w:jc w:val="center"/>
              <w:rPr>
                <w:color w:val="auto"/>
                <w:sz w:val="21"/>
                <w:szCs w:val="21"/>
              </w:rPr>
            </w:pPr>
            <w:r>
              <w:rPr>
                <w:rFonts w:hint="eastAsia" w:ascii="宋体"/>
                <w:szCs w:val="21"/>
                <w:lang w:val="en-US" w:eastAsia="zh-CN"/>
              </w:rPr>
              <w:t>1</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6D122B5A">
            <w:pPr>
              <w:widowControl/>
              <w:spacing w:line="240" w:lineRule="auto"/>
              <w:jc w:val="center"/>
              <w:textAlignment w:val="center"/>
              <w:rPr>
                <w:color w:val="FF0000"/>
                <w:sz w:val="21"/>
                <w:szCs w:val="21"/>
              </w:rPr>
            </w:pPr>
            <w:r>
              <w:rPr>
                <w:rFonts w:hint="eastAsia" w:ascii="宋体"/>
                <w:szCs w:val="21"/>
              </w:rPr>
              <w:t>湖州市统计诚信示范企业</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7D56769A">
            <w:pPr>
              <w:widowControl/>
              <w:spacing w:line="240" w:lineRule="auto"/>
              <w:jc w:val="center"/>
              <w:textAlignment w:val="center"/>
              <w:rPr>
                <w:color w:val="FF0000"/>
                <w:sz w:val="21"/>
                <w:szCs w:val="21"/>
              </w:rPr>
            </w:pPr>
            <w:r>
              <w:rPr>
                <w:rFonts w:hint="eastAsia" w:ascii="宋体"/>
                <w:szCs w:val="21"/>
              </w:rPr>
              <w:t>2</w:t>
            </w:r>
            <w:r>
              <w:rPr>
                <w:rFonts w:hint="eastAsia" w:ascii="宋体"/>
                <w:szCs w:val="21"/>
                <w:lang w:val="en-US" w:eastAsia="zh-CN"/>
              </w:rPr>
              <w:t>019</w:t>
            </w:r>
            <w:r>
              <w:rPr>
                <w:rFonts w:hint="eastAsia" w:hAnsi="Times New Roman"/>
                <w:kern w:val="2"/>
                <w:sz w:val="21"/>
                <w:szCs w:val="21"/>
              </w:rPr>
              <w:t>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2E4F4196">
            <w:pPr>
              <w:widowControl/>
              <w:spacing w:line="240" w:lineRule="auto"/>
              <w:jc w:val="center"/>
              <w:textAlignment w:val="center"/>
              <w:rPr>
                <w:color w:val="FF0000"/>
                <w:sz w:val="21"/>
                <w:szCs w:val="21"/>
              </w:rPr>
            </w:pPr>
            <w:r>
              <w:rPr>
                <w:rFonts w:hint="eastAsia" w:ascii="宋体"/>
                <w:szCs w:val="21"/>
              </w:rPr>
              <w:t>湖州市统计局</w:t>
            </w:r>
          </w:p>
        </w:tc>
      </w:tr>
      <w:tr w14:paraId="6834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7462549F">
            <w:pPr>
              <w:widowControl/>
              <w:spacing w:line="240" w:lineRule="auto"/>
              <w:jc w:val="center"/>
              <w:rPr>
                <w:rFonts w:hint="default" w:ascii="宋体"/>
                <w:szCs w:val="21"/>
                <w:lang w:val="en-US" w:eastAsia="zh-CN"/>
              </w:rPr>
            </w:pPr>
            <w:r>
              <w:rPr>
                <w:rFonts w:hint="eastAsia" w:ascii="宋体"/>
                <w:szCs w:val="21"/>
                <w:lang w:val="en-US" w:eastAsia="zh-CN"/>
              </w:rPr>
              <w:t>2</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35463E31">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rPr>
            </w:pPr>
            <w:r>
              <w:rPr>
                <w:rFonts w:hint="eastAsia" w:hAnsi="Times New Roman"/>
                <w:kern w:val="2"/>
                <w:sz w:val="21"/>
                <w:szCs w:val="21"/>
              </w:rPr>
              <w:t>上海市装饰装修行业协会会员证</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1279904D">
            <w:pPr>
              <w:pStyle w:val="2"/>
              <w:spacing w:before="0" w:beforeAutospacing="0" w:after="0" w:afterAutospacing="0" w:line="240" w:lineRule="auto"/>
              <w:ind w:left="0" w:leftChars="0" w:right="0" w:rightChars="0"/>
              <w:jc w:val="center"/>
              <w:textAlignment w:val="center"/>
              <w:rPr>
                <w:rFonts w:hint="default" w:hAnsi="Times New Roman"/>
                <w:kern w:val="2"/>
                <w:sz w:val="21"/>
                <w:szCs w:val="21"/>
                <w:lang w:val="en-US" w:eastAsia="zh-CN"/>
              </w:rPr>
            </w:pPr>
            <w:r>
              <w:rPr>
                <w:rFonts w:hint="eastAsia" w:hAnsi="Times New Roman"/>
                <w:kern w:val="2"/>
                <w:sz w:val="21"/>
                <w:szCs w:val="21"/>
                <w:lang w:val="en-US" w:eastAsia="zh-CN"/>
              </w:rPr>
              <w:t>2019年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46E7B992">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lang w:val="en-US" w:eastAsia="zh-CN"/>
              </w:rPr>
            </w:pPr>
            <w:r>
              <w:rPr>
                <w:rFonts w:hint="eastAsia" w:hAnsi="Times New Roman"/>
                <w:kern w:val="2"/>
                <w:sz w:val="21"/>
                <w:szCs w:val="21"/>
                <w:lang w:val="en-US" w:eastAsia="zh-CN"/>
              </w:rPr>
              <w:t>上海市装饰装修行业协会建筑幕墙专业委员会</w:t>
            </w:r>
          </w:p>
        </w:tc>
      </w:tr>
      <w:tr w14:paraId="0E8E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5CA34483">
            <w:pPr>
              <w:widowControl/>
              <w:spacing w:line="240" w:lineRule="auto"/>
              <w:jc w:val="center"/>
              <w:rPr>
                <w:rFonts w:hint="default" w:ascii="宋体"/>
                <w:szCs w:val="21"/>
                <w:lang w:val="en-US" w:eastAsia="zh-CN"/>
              </w:rPr>
            </w:pPr>
            <w:r>
              <w:rPr>
                <w:rFonts w:hint="eastAsia" w:ascii="宋体"/>
                <w:szCs w:val="21"/>
                <w:lang w:val="en-US" w:eastAsia="zh-CN"/>
              </w:rPr>
              <w:t>3</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644E8B08">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rPr>
            </w:pPr>
            <w:r>
              <w:rPr>
                <w:rFonts w:hint="eastAsia" w:hAnsi="Times New Roman"/>
                <w:kern w:val="2"/>
                <w:sz w:val="21"/>
                <w:szCs w:val="21"/>
              </w:rPr>
              <w:t>浙江省建筑装饰行业协会</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65B6897B">
            <w:pPr>
              <w:pStyle w:val="2"/>
              <w:spacing w:before="0" w:beforeAutospacing="0" w:after="0" w:afterAutospacing="0" w:line="240" w:lineRule="auto"/>
              <w:ind w:left="0" w:leftChars="0" w:right="0" w:rightChars="0"/>
              <w:jc w:val="center"/>
              <w:textAlignment w:val="center"/>
              <w:rPr>
                <w:rFonts w:hint="default" w:hAnsi="Times New Roman" w:eastAsiaTheme="minorEastAsia"/>
                <w:kern w:val="2"/>
                <w:sz w:val="21"/>
                <w:szCs w:val="21"/>
                <w:lang w:val="en-US" w:eastAsia="zh-CN"/>
              </w:rPr>
            </w:pPr>
            <w:r>
              <w:rPr>
                <w:rFonts w:hint="eastAsia" w:hAnsi="Times New Roman"/>
                <w:kern w:val="2"/>
                <w:sz w:val="21"/>
                <w:szCs w:val="21"/>
                <w:lang w:val="en-US" w:eastAsia="zh-CN"/>
              </w:rPr>
              <w:t>2021年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03A91E84">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lang w:val="en-US" w:eastAsia="zh-CN"/>
              </w:rPr>
            </w:pPr>
            <w:r>
              <w:rPr>
                <w:rFonts w:hint="eastAsia" w:hAnsi="Times New Roman"/>
                <w:kern w:val="2"/>
                <w:sz w:val="21"/>
                <w:szCs w:val="21"/>
                <w:lang w:val="en-US" w:eastAsia="zh-CN"/>
              </w:rPr>
              <w:t>浙江省建筑装饰行业协会</w:t>
            </w:r>
          </w:p>
        </w:tc>
      </w:tr>
      <w:tr w14:paraId="75F6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7F26B1F7">
            <w:pPr>
              <w:widowControl/>
              <w:spacing w:line="240" w:lineRule="auto"/>
              <w:jc w:val="center"/>
              <w:rPr>
                <w:rFonts w:hint="default" w:ascii="宋体"/>
                <w:szCs w:val="21"/>
                <w:lang w:val="en-US" w:eastAsia="zh-CN"/>
              </w:rPr>
            </w:pPr>
            <w:r>
              <w:rPr>
                <w:rFonts w:hint="eastAsia" w:ascii="宋体"/>
                <w:szCs w:val="21"/>
                <w:lang w:val="en-US" w:eastAsia="zh-CN"/>
              </w:rPr>
              <w:t>4</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232E66C1">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rPr>
            </w:pPr>
            <w:r>
              <w:rPr>
                <w:rFonts w:hint="eastAsia" w:hAnsi="Times New Roman"/>
                <w:kern w:val="2"/>
                <w:sz w:val="21"/>
                <w:szCs w:val="21"/>
              </w:rPr>
              <w:t>安全生产标准化（有色）证书</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5742237E">
            <w:pPr>
              <w:pStyle w:val="2"/>
              <w:spacing w:before="0" w:beforeAutospacing="0" w:after="0" w:afterAutospacing="0" w:line="240" w:lineRule="auto"/>
              <w:ind w:left="0" w:leftChars="0" w:right="0" w:rightChars="0"/>
              <w:jc w:val="center"/>
              <w:textAlignment w:val="center"/>
              <w:rPr>
                <w:rFonts w:hint="default" w:hAnsi="Times New Roman"/>
                <w:kern w:val="2"/>
                <w:sz w:val="21"/>
                <w:szCs w:val="21"/>
                <w:lang w:val="en-US" w:eastAsia="zh-CN"/>
              </w:rPr>
            </w:pPr>
            <w:r>
              <w:rPr>
                <w:rFonts w:hint="eastAsia" w:hAnsi="Times New Roman"/>
                <w:kern w:val="2"/>
                <w:sz w:val="21"/>
                <w:szCs w:val="21"/>
                <w:lang w:val="en-US" w:eastAsia="zh-CN"/>
              </w:rPr>
              <w:t>2022年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372848A9">
            <w:pPr>
              <w:pStyle w:val="2"/>
              <w:spacing w:before="0" w:beforeAutospacing="0" w:after="0" w:afterAutospacing="0" w:line="240" w:lineRule="auto"/>
              <w:ind w:left="0" w:leftChars="0" w:right="0" w:rightChars="0"/>
              <w:jc w:val="center"/>
              <w:textAlignment w:val="center"/>
              <w:rPr>
                <w:rFonts w:hint="eastAsia" w:hAnsi="Times New Roman"/>
                <w:kern w:val="2"/>
                <w:sz w:val="21"/>
                <w:szCs w:val="21"/>
                <w:lang w:val="en-US" w:eastAsia="zh-CN"/>
              </w:rPr>
            </w:pPr>
            <w:r>
              <w:rPr>
                <w:rFonts w:hint="eastAsia" w:hAnsi="Times New Roman"/>
                <w:kern w:val="2"/>
                <w:sz w:val="21"/>
                <w:szCs w:val="21"/>
                <w:lang w:val="en-US" w:eastAsia="zh-CN"/>
              </w:rPr>
              <w:t>湖州市应急管理局</w:t>
            </w:r>
          </w:p>
        </w:tc>
      </w:tr>
      <w:tr w14:paraId="0403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1F77A131">
            <w:pPr>
              <w:widowControl/>
              <w:spacing w:line="240" w:lineRule="auto"/>
              <w:jc w:val="center"/>
              <w:rPr>
                <w:rFonts w:hint="default" w:ascii="宋体"/>
                <w:szCs w:val="21"/>
                <w:lang w:val="en-US" w:eastAsia="zh-CN"/>
              </w:rPr>
            </w:pPr>
            <w:r>
              <w:rPr>
                <w:rFonts w:hint="eastAsia" w:ascii="宋体"/>
                <w:szCs w:val="21"/>
                <w:lang w:val="en-US" w:eastAsia="zh-CN"/>
              </w:rPr>
              <w:t>5</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37F60EDC">
            <w:pPr>
              <w:widowControl/>
              <w:spacing w:line="240" w:lineRule="auto"/>
              <w:jc w:val="center"/>
              <w:textAlignment w:val="center"/>
              <w:rPr>
                <w:rFonts w:hint="eastAsia" w:asciiTheme="minorHAnsi" w:hAnsiTheme="minorHAnsi" w:eastAsiaTheme="minorEastAsia" w:cstheme="minorBidi"/>
                <w:color w:val="FF0000"/>
                <w:kern w:val="2"/>
                <w:sz w:val="21"/>
                <w:szCs w:val="21"/>
                <w:lang w:val="en-US" w:eastAsia="zh-CN" w:bidi="ar-SA"/>
              </w:rPr>
            </w:pPr>
            <w:r>
              <w:rPr>
                <w:rFonts w:hint="eastAsia" w:ascii="宋体"/>
                <w:szCs w:val="21"/>
              </w:rPr>
              <w:t>高新技术企业</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49901E71">
            <w:pPr>
              <w:widowControl/>
              <w:spacing w:line="240" w:lineRule="auto"/>
              <w:jc w:val="center"/>
              <w:textAlignment w:val="center"/>
              <w:rPr>
                <w:rFonts w:hint="eastAsia" w:asciiTheme="minorHAnsi" w:hAnsiTheme="minorHAnsi" w:eastAsiaTheme="minorEastAsia" w:cstheme="minorBidi"/>
                <w:color w:val="FF0000"/>
                <w:kern w:val="2"/>
                <w:sz w:val="21"/>
                <w:szCs w:val="21"/>
                <w:lang w:val="en-US" w:eastAsia="zh-CN" w:bidi="ar-SA"/>
              </w:rPr>
            </w:pPr>
            <w:r>
              <w:rPr>
                <w:rFonts w:ascii="宋体"/>
                <w:szCs w:val="21"/>
              </w:rPr>
              <w:t>20</w:t>
            </w:r>
            <w:r>
              <w:rPr>
                <w:rFonts w:hint="eastAsia" w:ascii="宋体"/>
                <w:szCs w:val="21"/>
                <w:lang w:val="en-US" w:eastAsia="zh-CN"/>
              </w:rPr>
              <w:t>22</w:t>
            </w:r>
            <w:r>
              <w:rPr>
                <w:rFonts w:hint="eastAsia" w:ascii="宋体"/>
                <w:szCs w:val="21"/>
              </w:rPr>
              <w:t>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6B431A47">
            <w:pPr>
              <w:widowControl/>
              <w:spacing w:line="240" w:lineRule="auto"/>
              <w:jc w:val="center"/>
              <w:textAlignment w:val="center"/>
              <w:rPr>
                <w:rFonts w:hint="eastAsia" w:asciiTheme="minorHAnsi" w:hAnsiTheme="minorHAnsi" w:eastAsiaTheme="minorEastAsia" w:cstheme="minorBidi"/>
                <w:color w:val="FF0000"/>
                <w:kern w:val="2"/>
                <w:sz w:val="21"/>
                <w:szCs w:val="21"/>
                <w:lang w:val="en-US" w:eastAsia="zh-CN" w:bidi="ar-SA"/>
              </w:rPr>
            </w:pPr>
            <w:r>
              <w:rPr>
                <w:rFonts w:hint="eastAsia" w:ascii="宋体"/>
                <w:szCs w:val="21"/>
              </w:rPr>
              <w:t>浙江省科学技术厅</w:t>
            </w:r>
          </w:p>
        </w:tc>
      </w:tr>
      <w:tr w14:paraId="5D89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7842758A">
            <w:pPr>
              <w:widowControl/>
              <w:spacing w:line="240" w:lineRule="auto"/>
              <w:jc w:val="center"/>
              <w:rPr>
                <w:rFonts w:hint="default" w:ascii="宋体"/>
                <w:szCs w:val="21"/>
                <w:lang w:val="en-US" w:eastAsia="zh-CN"/>
              </w:rPr>
            </w:pPr>
            <w:r>
              <w:rPr>
                <w:rFonts w:hint="eastAsia" w:ascii="宋体"/>
                <w:szCs w:val="21"/>
                <w:lang w:val="en-US" w:eastAsia="zh-CN"/>
              </w:rPr>
              <w:t>6</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0E7DAF48">
            <w:pPr>
              <w:pStyle w:val="2"/>
              <w:spacing w:before="0" w:beforeAutospacing="0" w:after="0" w:afterAutospacing="0" w:line="240" w:lineRule="auto"/>
              <w:ind w:left="0" w:leftChars="0" w:right="0" w:rightChars="0"/>
              <w:jc w:val="center"/>
              <w:textAlignment w:val="center"/>
              <w:rPr>
                <w:rFonts w:hint="eastAsia" w:asciiTheme="minorHAnsi" w:hAnsiTheme="minorHAnsi" w:eastAsiaTheme="minorEastAsia" w:cstheme="minorBidi"/>
                <w:color w:val="FF0000"/>
                <w:kern w:val="0"/>
                <w:sz w:val="21"/>
                <w:szCs w:val="21"/>
                <w:lang w:val="en-US" w:eastAsia="zh-CN" w:bidi="ar"/>
              </w:rPr>
            </w:pPr>
            <w:r>
              <w:rPr>
                <w:rFonts w:hint="eastAsia" w:hAnsi="Times New Roman"/>
                <w:kern w:val="2"/>
                <w:sz w:val="21"/>
                <w:szCs w:val="21"/>
              </w:rPr>
              <w:t>浙江省A</w:t>
            </w:r>
            <w:r>
              <w:rPr>
                <w:rFonts w:hint="eastAsia" w:hAnsi="Times New Roman"/>
                <w:kern w:val="2"/>
                <w:sz w:val="21"/>
                <w:szCs w:val="21"/>
                <w:lang w:val="en-US" w:eastAsia="zh-CN"/>
              </w:rPr>
              <w:t>AA</w:t>
            </w:r>
            <w:r>
              <w:rPr>
                <w:rFonts w:hint="eastAsia" w:hAnsi="Times New Roman"/>
                <w:kern w:val="2"/>
                <w:sz w:val="21"/>
                <w:szCs w:val="21"/>
              </w:rPr>
              <w:t>级</w:t>
            </w:r>
            <w:r>
              <w:rPr>
                <w:rFonts w:hint="eastAsia" w:hAnsi="Times New Roman"/>
                <w:kern w:val="2"/>
                <w:sz w:val="21"/>
                <w:szCs w:val="21"/>
                <w:lang w:val="en-US" w:eastAsia="zh-CN"/>
              </w:rPr>
              <w:t>守合同重</w:t>
            </w:r>
            <w:r>
              <w:rPr>
                <w:rFonts w:hint="eastAsia" w:hAnsi="Times New Roman"/>
                <w:kern w:val="2"/>
                <w:sz w:val="21"/>
                <w:szCs w:val="21"/>
              </w:rPr>
              <w:t>信用企业</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43C42E28">
            <w:pPr>
              <w:pStyle w:val="2"/>
              <w:spacing w:before="0" w:beforeAutospacing="0" w:after="0" w:afterAutospacing="0" w:line="240" w:lineRule="auto"/>
              <w:ind w:left="0" w:leftChars="0" w:right="0" w:rightChars="0"/>
              <w:jc w:val="center"/>
              <w:textAlignment w:val="center"/>
              <w:rPr>
                <w:rFonts w:asciiTheme="minorHAnsi" w:hAnsiTheme="minorHAnsi" w:eastAsiaTheme="minorEastAsia" w:cstheme="minorBidi"/>
                <w:color w:val="FF0000"/>
                <w:kern w:val="0"/>
                <w:sz w:val="21"/>
                <w:szCs w:val="21"/>
                <w:lang w:val="en-US" w:eastAsia="zh-CN" w:bidi="ar"/>
              </w:rPr>
            </w:pPr>
            <w:r>
              <w:rPr>
                <w:rFonts w:hint="eastAsia" w:hAnsi="Times New Roman"/>
                <w:kern w:val="2"/>
                <w:sz w:val="21"/>
                <w:szCs w:val="21"/>
              </w:rPr>
              <w:t>20</w:t>
            </w:r>
            <w:r>
              <w:rPr>
                <w:rFonts w:hint="eastAsia" w:hAnsi="Times New Roman"/>
                <w:kern w:val="2"/>
                <w:sz w:val="21"/>
                <w:szCs w:val="21"/>
                <w:lang w:val="en-US" w:eastAsia="zh-CN"/>
              </w:rPr>
              <w:t>23</w:t>
            </w:r>
            <w:r>
              <w:rPr>
                <w:rFonts w:hint="eastAsia" w:hAnsi="Times New Roman"/>
                <w:kern w:val="2"/>
                <w:sz w:val="21"/>
                <w:szCs w:val="21"/>
              </w:rPr>
              <w:t>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0FA08C97">
            <w:pPr>
              <w:pStyle w:val="2"/>
              <w:spacing w:before="0" w:beforeAutospacing="0" w:after="0" w:afterAutospacing="0" w:line="240" w:lineRule="auto"/>
              <w:ind w:left="0" w:leftChars="0" w:right="0" w:rightChars="0"/>
              <w:jc w:val="center"/>
              <w:textAlignment w:val="center"/>
              <w:rPr>
                <w:rFonts w:hint="eastAsia" w:asciiTheme="minorHAnsi" w:hAnsiTheme="minorHAnsi" w:eastAsiaTheme="minorEastAsia" w:cstheme="minorBidi"/>
                <w:color w:val="FF0000"/>
                <w:kern w:val="0"/>
                <w:sz w:val="21"/>
                <w:szCs w:val="21"/>
                <w:lang w:val="en-US" w:eastAsia="zh-CN" w:bidi="ar"/>
              </w:rPr>
            </w:pPr>
            <w:r>
              <w:rPr>
                <w:rFonts w:hint="eastAsia" w:hAnsi="Times New Roman"/>
                <w:kern w:val="2"/>
                <w:sz w:val="21"/>
                <w:szCs w:val="21"/>
                <w:lang w:val="en-US" w:eastAsia="zh-CN"/>
              </w:rPr>
              <w:t>浙江省</w:t>
            </w:r>
            <w:r>
              <w:rPr>
                <w:rFonts w:hint="eastAsia" w:hAnsi="Times New Roman"/>
                <w:kern w:val="2"/>
                <w:sz w:val="21"/>
                <w:szCs w:val="21"/>
              </w:rPr>
              <w:t>市场监督管理局</w:t>
            </w:r>
          </w:p>
        </w:tc>
      </w:tr>
      <w:tr w14:paraId="1894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393CE126">
            <w:pPr>
              <w:widowControl/>
              <w:spacing w:line="240" w:lineRule="auto"/>
              <w:jc w:val="center"/>
              <w:rPr>
                <w:rFonts w:hint="default" w:ascii="宋体"/>
                <w:szCs w:val="21"/>
                <w:lang w:val="en-US" w:eastAsia="zh-CN"/>
              </w:rPr>
            </w:pPr>
            <w:r>
              <w:rPr>
                <w:rFonts w:hint="eastAsia" w:ascii="宋体"/>
                <w:szCs w:val="21"/>
                <w:lang w:val="en-US" w:eastAsia="zh-CN"/>
              </w:rPr>
              <w:t>7</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3A80A9E7">
            <w:pPr>
              <w:widowControl/>
              <w:spacing w:line="240" w:lineRule="auto"/>
              <w:jc w:val="center"/>
              <w:textAlignment w:val="center"/>
              <w:rPr>
                <w:rFonts w:hint="eastAsia" w:ascii="宋体"/>
                <w:szCs w:val="21"/>
              </w:rPr>
            </w:pPr>
            <w:r>
              <w:rPr>
                <w:rFonts w:hint="eastAsia" w:ascii="宋体"/>
                <w:szCs w:val="21"/>
              </w:rPr>
              <w:t>上海铝业行业协会理事单位</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79908BF2">
            <w:pPr>
              <w:widowControl/>
              <w:spacing w:line="240" w:lineRule="auto"/>
              <w:jc w:val="center"/>
              <w:textAlignment w:val="center"/>
              <w:rPr>
                <w:rFonts w:hint="default" w:ascii="宋体"/>
                <w:szCs w:val="21"/>
                <w:lang w:val="en-US" w:eastAsia="zh-CN"/>
              </w:rPr>
            </w:pPr>
            <w:r>
              <w:rPr>
                <w:rFonts w:hint="eastAsia" w:ascii="宋体"/>
                <w:szCs w:val="21"/>
                <w:lang w:val="en-US" w:eastAsia="zh-CN"/>
              </w:rPr>
              <w:t>2023年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7A183EEC">
            <w:pPr>
              <w:widowControl/>
              <w:spacing w:line="240" w:lineRule="auto"/>
              <w:jc w:val="center"/>
              <w:textAlignment w:val="center"/>
              <w:rPr>
                <w:rFonts w:hint="eastAsia" w:ascii="宋体"/>
                <w:szCs w:val="21"/>
              </w:rPr>
            </w:pPr>
            <w:r>
              <w:rPr>
                <w:rFonts w:hint="eastAsia" w:ascii="宋体"/>
                <w:szCs w:val="21"/>
              </w:rPr>
              <w:t>上海铝业行业协会</w:t>
            </w:r>
          </w:p>
        </w:tc>
      </w:tr>
      <w:tr w14:paraId="42A5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7EF1E208">
            <w:pPr>
              <w:widowControl/>
              <w:spacing w:line="240" w:lineRule="auto"/>
              <w:jc w:val="center"/>
              <w:rPr>
                <w:rFonts w:hint="default" w:ascii="宋体"/>
                <w:szCs w:val="21"/>
                <w:lang w:val="en-US" w:eastAsia="zh-CN"/>
              </w:rPr>
            </w:pPr>
            <w:r>
              <w:rPr>
                <w:rFonts w:hint="eastAsia" w:ascii="宋体"/>
                <w:szCs w:val="21"/>
                <w:lang w:val="en-US" w:eastAsia="zh-CN"/>
              </w:rPr>
              <w:t>8</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5675E008">
            <w:pPr>
              <w:widowControl/>
              <w:spacing w:line="240" w:lineRule="auto"/>
              <w:jc w:val="center"/>
              <w:textAlignment w:val="center"/>
              <w:rPr>
                <w:rFonts w:hint="eastAsia" w:ascii="宋体"/>
                <w:szCs w:val="21"/>
              </w:rPr>
            </w:pPr>
            <w:r>
              <w:rPr>
                <w:rFonts w:hint="eastAsia" w:ascii="宋体"/>
                <w:szCs w:val="21"/>
              </w:rPr>
              <w:t>湖州市环保产业协会会员证书</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1AF2BE7B">
            <w:pPr>
              <w:widowControl/>
              <w:spacing w:line="240" w:lineRule="auto"/>
              <w:jc w:val="center"/>
              <w:textAlignment w:val="center"/>
              <w:rPr>
                <w:rFonts w:hint="default" w:ascii="宋体"/>
                <w:szCs w:val="21"/>
                <w:lang w:val="en-US" w:eastAsia="zh-CN"/>
              </w:rPr>
            </w:pPr>
            <w:r>
              <w:rPr>
                <w:rFonts w:hint="eastAsia" w:ascii="宋体"/>
                <w:szCs w:val="21"/>
                <w:lang w:val="en-US" w:eastAsia="zh-CN"/>
              </w:rPr>
              <w:t>2023年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120464D8">
            <w:pPr>
              <w:widowControl/>
              <w:spacing w:line="240" w:lineRule="auto"/>
              <w:jc w:val="center"/>
              <w:textAlignment w:val="center"/>
              <w:rPr>
                <w:rFonts w:hint="eastAsia" w:ascii="宋体"/>
                <w:szCs w:val="21"/>
              </w:rPr>
            </w:pPr>
            <w:r>
              <w:rPr>
                <w:rFonts w:hint="eastAsia" w:ascii="宋体"/>
                <w:szCs w:val="21"/>
              </w:rPr>
              <w:t>湖州市环保产业协会</w:t>
            </w:r>
          </w:p>
        </w:tc>
      </w:tr>
      <w:tr w14:paraId="0822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525" w:type="dxa"/>
            <w:tcBorders>
              <w:top w:val="single" w:color="auto" w:sz="8" w:space="0"/>
              <w:left w:val="single" w:color="auto" w:sz="8" w:space="0"/>
              <w:bottom w:val="single" w:color="auto" w:sz="8" w:space="0"/>
              <w:right w:val="single" w:color="auto" w:sz="8" w:space="0"/>
            </w:tcBorders>
            <w:shd w:val="clear" w:color="auto" w:fill="auto"/>
            <w:vAlign w:val="center"/>
          </w:tcPr>
          <w:p w14:paraId="7175637F">
            <w:pPr>
              <w:widowControl/>
              <w:spacing w:line="240" w:lineRule="auto"/>
              <w:jc w:val="center"/>
              <w:rPr>
                <w:rFonts w:hint="default" w:ascii="宋体"/>
                <w:szCs w:val="21"/>
                <w:lang w:val="en-US" w:eastAsia="zh-CN"/>
              </w:rPr>
            </w:pPr>
            <w:r>
              <w:rPr>
                <w:rFonts w:hint="eastAsia" w:ascii="宋体"/>
                <w:szCs w:val="21"/>
                <w:lang w:val="en-US" w:eastAsia="zh-CN"/>
              </w:rPr>
              <w:t>9</w:t>
            </w:r>
          </w:p>
        </w:tc>
        <w:tc>
          <w:tcPr>
            <w:tcW w:w="4201" w:type="dxa"/>
            <w:tcBorders>
              <w:top w:val="single" w:color="auto" w:sz="8" w:space="0"/>
              <w:left w:val="single" w:color="auto" w:sz="8" w:space="0"/>
              <w:bottom w:val="single" w:color="auto" w:sz="8" w:space="0"/>
              <w:right w:val="single" w:color="auto" w:sz="8" w:space="0"/>
            </w:tcBorders>
            <w:shd w:val="clear" w:color="auto" w:fill="FFFFFF"/>
            <w:vAlign w:val="center"/>
          </w:tcPr>
          <w:p w14:paraId="3CD21B5E">
            <w:pPr>
              <w:widowControl/>
              <w:spacing w:line="240" w:lineRule="auto"/>
              <w:jc w:val="center"/>
              <w:textAlignment w:val="center"/>
              <w:rPr>
                <w:rFonts w:hint="eastAsia" w:ascii="宋体"/>
                <w:szCs w:val="21"/>
              </w:rPr>
            </w:pPr>
            <w:r>
              <w:rPr>
                <w:rFonts w:hint="eastAsia" w:ascii="宋体"/>
                <w:szCs w:val="21"/>
              </w:rPr>
              <w:t>中国有色金属加工工业协会会员证书</w:t>
            </w: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14:paraId="305E0708">
            <w:pPr>
              <w:widowControl/>
              <w:spacing w:line="240" w:lineRule="auto"/>
              <w:jc w:val="center"/>
              <w:textAlignment w:val="center"/>
              <w:rPr>
                <w:rFonts w:hint="default" w:ascii="宋体" w:eastAsiaTheme="minorEastAsia"/>
                <w:szCs w:val="21"/>
                <w:lang w:val="en-US" w:eastAsia="zh-CN"/>
              </w:rPr>
            </w:pPr>
            <w:r>
              <w:rPr>
                <w:rFonts w:hint="eastAsia" w:ascii="宋体"/>
                <w:szCs w:val="21"/>
                <w:lang w:val="en-US" w:eastAsia="zh-CN"/>
              </w:rPr>
              <w:t>2024年</w:t>
            </w:r>
          </w:p>
        </w:tc>
        <w:tc>
          <w:tcPr>
            <w:tcW w:w="3578" w:type="dxa"/>
            <w:tcBorders>
              <w:top w:val="single" w:color="auto" w:sz="8" w:space="0"/>
              <w:left w:val="single" w:color="auto" w:sz="8" w:space="0"/>
              <w:bottom w:val="single" w:color="auto" w:sz="8" w:space="0"/>
              <w:right w:val="single" w:color="auto" w:sz="8" w:space="0"/>
            </w:tcBorders>
            <w:shd w:val="clear" w:color="auto" w:fill="FFFFFF"/>
            <w:vAlign w:val="center"/>
          </w:tcPr>
          <w:p w14:paraId="25B074F4">
            <w:pPr>
              <w:widowControl/>
              <w:spacing w:line="240" w:lineRule="auto"/>
              <w:jc w:val="center"/>
              <w:textAlignment w:val="center"/>
              <w:rPr>
                <w:rFonts w:hint="eastAsia" w:ascii="宋体"/>
                <w:szCs w:val="21"/>
              </w:rPr>
            </w:pPr>
            <w:r>
              <w:rPr>
                <w:rFonts w:hint="eastAsia" w:ascii="宋体"/>
                <w:szCs w:val="21"/>
              </w:rPr>
              <w:t>中国有色金属加工工业协会</w:t>
            </w:r>
          </w:p>
        </w:tc>
      </w:tr>
    </w:tbl>
    <w:p w14:paraId="102BF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b/>
          <w:bCs/>
          <w:i w:val="0"/>
          <w:iCs w:val="0"/>
          <w:caps w:val="0"/>
          <w:color w:val="auto"/>
          <w:spacing w:val="0"/>
          <w:sz w:val="21"/>
          <w:szCs w:val="21"/>
        </w:rPr>
      </w:pPr>
    </w:p>
    <w:p w14:paraId="0E390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四、公司战略</w:t>
      </w:r>
    </w:p>
    <w:p w14:paraId="2EE85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70"/>
        <w:rPr>
          <w:color w:val="auto"/>
          <w:sz w:val="21"/>
          <w:szCs w:val="21"/>
        </w:rPr>
      </w:pPr>
      <w:r>
        <w:rPr>
          <w:rFonts w:hint="eastAsia" w:ascii="微软雅黑" w:hAnsi="微软雅黑" w:eastAsia="微软雅黑" w:cs="微软雅黑"/>
          <w:i w:val="0"/>
          <w:iCs w:val="0"/>
          <w:caps w:val="0"/>
          <w:color w:val="auto"/>
          <w:spacing w:val="0"/>
          <w:sz w:val="21"/>
          <w:szCs w:val="21"/>
        </w:rPr>
        <w:t>总经理牵头担任组长的战略管理小组，建立了战略管理过程，公司收集了内外部环境信息，通过对信息的评估、分析和审核、审批，形成了战略方向。制定了公司的五年规划，将战略作为实现公司愿景的途径。</w:t>
      </w:r>
    </w:p>
    <w:p w14:paraId="299BE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70"/>
        <w:rPr>
          <w:color w:val="auto"/>
          <w:sz w:val="21"/>
          <w:szCs w:val="21"/>
        </w:rPr>
      </w:pPr>
      <w:r>
        <w:rPr>
          <w:rFonts w:hint="eastAsia" w:ascii="微软雅黑" w:hAnsi="微软雅黑" w:eastAsia="微软雅黑" w:cs="微软雅黑"/>
          <w:i w:val="0"/>
          <w:iCs w:val="0"/>
          <w:caps w:val="0"/>
          <w:color w:val="auto"/>
          <w:spacing w:val="0"/>
          <w:sz w:val="21"/>
          <w:szCs w:val="21"/>
        </w:rPr>
        <w:t>针对战略方向公司建立了长短期战略目标和相关的战略实施计划：</w:t>
      </w:r>
    </w:p>
    <w:tbl>
      <w:tblPr>
        <w:tblStyle w:val="3"/>
        <w:tblW w:w="8576"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5"/>
        <w:gridCol w:w="1593"/>
        <w:gridCol w:w="6308"/>
      </w:tblGrid>
      <w:tr w14:paraId="4156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800080"/>
            <w:vAlign w:val="center"/>
          </w:tcPr>
          <w:p w14:paraId="6F77D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序号</w:t>
            </w:r>
          </w:p>
        </w:tc>
        <w:tc>
          <w:tcPr>
            <w:tcW w:w="1593" w:type="dxa"/>
            <w:tcBorders>
              <w:top w:val="single" w:color="auto" w:sz="8" w:space="0"/>
              <w:left w:val="single" w:color="auto" w:sz="8" w:space="0"/>
              <w:bottom w:val="single" w:color="auto" w:sz="8" w:space="0"/>
              <w:right w:val="single" w:color="auto" w:sz="8" w:space="0"/>
            </w:tcBorders>
            <w:shd w:val="clear" w:color="auto" w:fill="800080"/>
            <w:vAlign w:val="center"/>
          </w:tcPr>
          <w:p w14:paraId="17686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战略内容</w:t>
            </w:r>
          </w:p>
        </w:tc>
        <w:tc>
          <w:tcPr>
            <w:tcW w:w="6308" w:type="dxa"/>
            <w:tcBorders>
              <w:top w:val="single" w:color="auto" w:sz="8" w:space="0"/>
              <w:left w:val="single" w:color="auto" w:sz="8" w:space="0"/>
              <w:bottom w:val="single" w:color="auto" w:sz="8" w:space="0"/>
              <w:right w:val="single" w:color="auto" w:sz="8" w:space="0"/>
            </w:tcBorders>
            <w:shd w:val="clear" w:color="auto" w:fill="800080"/>
            <w:vAlign w:val="center"/>
          </w:tcPr>
          <w:p w14:paraId="069A9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战略具体要求</w:t>
            </w:r>
          </w:p>
        </w:tc>
      </w:tr>
      <w:tr w14:paraId="1922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14:paraId="1C674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auto"/>
                <w:sz w:val="21"/>
                <w:szCs w:val="21"/>
              </w:rPr>
            </w:pPr>
            <w:r>
              <w:rPr>
                <w:rFonts w:hint="eastAsia" w:ascii="宋体" w:hAnsi="宋体" w:eastAsia="宋体" w:cs="宋体"/>
                <w:color w:val="auto"/>
                <w:sz w:val="21"/>
                <w:szCs w:val="21"/>
              </w:rPr>
              <w:t>1</w:t>
            </w:r>
          </w:p>
        </w:tc>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14:paraId="35CB9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品牌战略</w:t>
            </w:r>
          </w:p>
        </w:tc>
        <w:tc>
          <w:tcPr>
            <w:tcW w:w="6308" w:type="dxa"/>
            <w:tcBorders>
              <w:top w:val="single" w:color="auto" w:sz="8" w:space="0"/>
              <w:left w:val="single" w:color="auto" w:sz="8" w:space="0"/>
              <w:bottom w:val="single" w:color="auto" w:sz="8" w:space="0"/>
              <w:right w:val="single" w:color="auto" w:sz="8" w:space="0"/>
            </w:tcBorders>
            <w:shd w:val="clear" w:color="auto" w:fill="auto"/>
            <w:vAlign w:val="center"/>
          </w:tcPr>
          <w:p w14:paraId="67425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ascii="Calibri" w:hAnsi="Calibri" w:cs="Calibri"/>
                <w:color w:val="auto"/>
                <w:sz w:val="21"/>
                <w:szCs w:val="21"/>
              </w:rPr>
              <w:t>通过打造技术先进性，产品专业化，体现差异化，提供品牌产品的 顾客满意度和忠诚度，提升公司的品牌知名度。</w:t>
            </w:r>
          </w:p>
        </w:tc>
      </w:tr>
      <w:tr w14:paraId="03B4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14:paraId="5B943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auto"/>
                <w:sz w:val="21"/>
                <w:szCs w:val="21"/>
              </w:rPr>
            </w:pPr>
            <w:r>
              <w:rPr>
                <w:rFonts w:hint="eastAsia" w:ascii="宋体" w:hAnsi="宋体" w:eastAsia="宋体" w:cs="宋体"/>
                <w:color w:val="auto"/>
                <w:sz w:val="21"/>
                <w:szCs w:val="21"/>
              </w:rPr>
              <w:t>2</w:t>
            </w:r>
          </w:p>
        </w:tc>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14:paraId="4ED41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技术创新</w:t>
            </w:r>
          </w:p>
        </w:tc>
        <w:tc>
          <w:tcPr>
            <w:tcW w:w="6308" w:type="dxa"/>
            <w:tcBorders>
              <w:top w:val="single" w:color="auto" w:sz="8" w:space="0"/>
              <w:left w:val="single" w:color="auto" w:sz="8" w:space="0"/>
              <w:bottom w:val="single" w:color="auto" w:sz="8" w:space="0"/>
              <w:right w:val="single" w:color="auto" w:sz="8" w:space="0"/>
            </w:tcBorders>
            <w:shd w:val="clear" w:color="auto" w:fill="auto"/>
            <w:vAlign w:val="center"/>
          </w:tcPr>
          <w:p w14:paraId="21482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default" w:ascii="Calibri" w:hAnsi="Calibri" w:cs="Calibri"/>
                <w:color w:val="auto"/>
                <w:sz w:val="21"/>
                <w:szCs w:val="21"/>
              </w:rPr>
              <w:t>据行业发展的特点，确保技术领先，保持和提升市场竞争力。</w:t>
            </w:r>
          </w:p>
        </w:tc>
      </w:tr>
      <w:tr w14:paraId="75E4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14:paraId="463A4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auto"/>
                <w:sz w:val="21"/>
                <w:szCs w:val="21"/>
              </w:rPr>
            </w:pPr>
            <w:r>
              <w:rPr>
                <w:rFonts w:hint="eastAsia" w:ascii="宋体" w:hAnsi="宋体" w:eastAsia="宋体" w:cs="宋体"/>
                <w:color w:val="auto"/>
                <w:sz w:val="21"/>
                <w:szCs w:val="21"/>
              </w:rPr>
              <w:t>3</w:t>
            </w:r>
          </w:p>
        </w:tc>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14:paraId="689C1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新型能力</w:t>
            </w:r>
          </w:p>
        </w:tc>
        <w:tc>
          <w:tcPr>
            <w:tcW w:w="6308" w:type="dxa"/>
            <w:tcBorders>
              <w:top w:val="single" w:color="auto" w:sz="8" w:space="0"/>
              <w:left w:val="single" w:color="auto" w:sz="8" w:space="0"/>
              <w:bottom w:val="single" w:color="auto" w:sz="8" w:space="0"/>
              <w:right w:val="single" w:color="auto" w:sz="8" w:space="0"/>
            </w:tcBorders>
            <w:shd w:val="clear" w:color="auto" w:fill="auto"/>
            <w:vAlign w:val="center"/>
          </w:tcPr>
          <w:p w14:paraId="1D2BA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default" w:ascii="Calibri" w:hAnsi="Calibri" w:cs="Calibri"/>
                <w:color w:val="auto"/>
                <w:sz w:val="21"/>
                <w:szCs w:val="21"/>
              </w:rPr>
              <w:t>根据公司产品发展的特点，确保质量、技术领先，增强市场竞争力。</w:t>
            </w:r>
          </w:p>
        </w:tc>
      </w:tr>
      <w:tr w14:paraId="128A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14:paraId="6D39E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auto"/>
                <w:sz w:val="21"/>
                <w:szCs w:val="21"/>
              </w:rPr>
            </w:pPr>
            <w:r>
              <w:rPr>
                <w:rFonts w:hint="eastAsia" w:ascii="宋体" w:hAnsi="宋体" w:eastAsia="宋体" w:cs="宋体"/>
                <w:color w:val="auto"/>
                <w:sz w:val="21"/>
                <w:szCs w:val="21"/>
              </w:rPr>
              <w:t>4</w:t>
            </w:r>
          </w:p>
        </w:tc>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14:paraId="0B626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产业协同</w:t>
            </w:r>
          </w:p>
        </w:tc>
        <w:tc>
          <w:tcPr>
            <w:tcW w:w="6308" w:type="dxa"/>
            <w:tcBorders>
              <w:top w:val="single" w:color="auto" w:sz="8" w:space="0"/>
              <w:left w:val="single" w:color="auto" w:sz="8" w:space="0"/>
              <w:bottom w:val="single" w:color="auto" w:sz="8" w:space="0"/>
              <w:right w:val="single" w:color="auto" w:sz="8" w:space="0"/>
            </w:tcBorders>
            <w:shd w:val="clear" w:color="auto" w:fill="auto"/>
            <w:vAlign w:val="center"/>
          </w:tcPr>
          <w:p w14:paraId="0CD04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default" w:ascii="Calibri" w:hAnsi="Calibri" w:cs="Calibri"/>
                <w:color w:val="auto"/>
                <w:sz w:val="21"/>
                <w:szCs w:val="21"/>
              </w:rPr>
              <w:t>重要原材料是决定产品品质、交期、价格的关键，通过加强战略供应商管理，整合供应链优势，强化产业协同。</w:t>
            </w:r>
          </w:p>
        </w:tc>
      </w:tr>
      <w:tr w14:paraId="5098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675" w:type="dxa"/>
            <w:tcBorders>
              <w:top w:val="single" w:color="auto" w:sz="8" w:space="0"/>
              <w:left w:val="single" w:color="auto" w:sz="8" w:space="0"/>
              <w:bottom w:val="single" w:color="auto" w:sz="8" w:space="0"/>
              <w:right w:val="single" w:color="auto" w:sz="8" w:space="0"/>
            </w:tcBorders>
            <w:shd w:val="clear" w:color="auto" w:fill="auto"/>
            <w:vAlign w:val="center"/>
          </w:tcPr>
          <w:p w14:paraId="59F72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auto"/>
                <w:sz w:val="21"/>
                <w:szCs w:val="21"/>
              </w:rPr>
            </w:pPr>
            <w:r>
              <w:rPr>
                <w:rFonts w:hint="eastAsia" w:ascii="宋体" w:hAnsi="宋体" w:eastAsia="宋体" w:cs="宋体"/>
                <w:color w:val="auto"/>
                <w:sz w:val="21"/>
                <w:szCs w:val="21"/>
              </w:rPr>
              <w:t>5</w:t>
            </w:r>
          </w:p>
        </w:tc>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14:paraId="4CA5B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社会责任</w:t>
            </w:r>
          </w:p>
        </w:tc>
        <w:tc>
          <w:tcPr>
            <w:tcW w:w="6308" w:type="dxa"/>
            <w:tcBorders>
              <w:top w:val="single" w:color="auto" w:sz="8" w:space="0"/>
              <w:left w:val="single" w:color="auto" w:sz="8" w:space="0"/>
              <w:bottom w:val="single" w:color="auto" w:sz="8" w:space="0"/>
              <w:right w:val="single" w:color="auto" w:sz="8" w:space="0"/>
            </w:tcBorders>
            <w:shd w:val="clear" w:color="auto" w:fill="auto"/>
            <w:vAlign w:val="center"/>
          </w:tcPr>
          <w:p w14:paraId="7BF22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default" w:ascii="Calibri" w:hAnsi="Calibri" w:cs="Calibri"/>
                <w:color w:val="auto"/>
                <w:sz w:val="21"/>
                <w:szCs w:val="21"/>
              </w:rPr>
              <w:t>关注社会弱小群体，继续支持公益事业。</w:t>
            </w:r>
          </w:p>
        </w:tc>
      </w:tr>
    </w:tbl>
    <w:p w14:paraId="0C67F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通过将公司战略分解为各职能部门的职能战略，将公司战略实施计划分解为各职能部门的指南战略实施计划，通过建立各岗位的关键绩效指标，形成了绩效管理系统，确保了战略实现。</w:t>
      </w:r>
    </w:p>
    <w:p w14:paraId="28676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公司治理</w:t>
      </w:r>
    </w:p>
    <w:p w14:paraId="2BFDA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自成立以来，经过多年的规范和运作，已建立了完善的治理机构。拥有了健全的管理机构，同时公司管理层着力于持续改善工作，以求得公司的稳步、快速发展。以《公司法》、《公司章程》为基本准则，副总经理负责公司的日常经营，管理团队负责整体的日常运作。</w:t>
      </w:r>
    </w:p>
    <w:p w14:paraId="256B1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确保内外部审计的独立性，达到保护企业、依法税收，收益者利益的目的。</w:t>
      </w:r>
    </w:p>
    <w:p w14:paraId="32A10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为保护受益者利益，公司监管系统由监事会、财务部组成，对公司高级管理人员职权行使、重大投资、财务收资和经济活动等组织行为监督、审计，保证组织活动的合法性、规范性、有效性。</w:t>
      </w:r>
    </w:p>
    <w:p w14:paraId="360F6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b/>
          <w:bCs/>
          <w:i w:val="0"/>
          <w:iCs w:val="0"/>
          <w:caps w:val="0"/>
          <w:color w:val="auto"/>
          <w:spacing w:val="0"/>
          <w:sz w:val="21"/>
          <w:szCs w:val="21"/>
        </w:rPr>
      </w:pPr>
    </w:p>
    <w:p w14:paraId="2CC0E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一、组织架构</w:t>
      </w:r>
    </w:p>
    <w:p w14:paraId="7E9B9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公司根据业务流程，设计和建立了组织架构，目前设立了8个职能部门，部门除了各负其责外，部门之间还相互协调合作，确保管理责任的落实。</w:t>
      </w:r>
    </w:p>
    <w:p w14:paraId="2D712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40"/>
        <w:rPr>
          <w:color w:val="auto"/>
          <w:sz w:val="21"/>
          <w:szCs w:val="21"/>
        </w:rPr>
      </w:pP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具体的组织架构如下图：</w:t>
      </w:r>
    </w:p>
    <w:p w14:paraId="129A6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eastAsia="宋体"/>
          <w:lang w:eastAsia="zh-CN"/>
        </w:rPr>
        <w:drawing>
          <wp:inline distT="0" distB="0" distL="114300" distR="114300">
            <wp:extent cx="5342890" cy="2807335"/>
            <wp:effectExtent l="0" t="0" r="10160" b="12065"/>
            <wp:docPr id="1" name="图片 1" descr="16805067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506783203"/>
                    <pic:cNvPicPr>
                      <a:picLocks noChangeAspect="1"/>
                    </pic:cNvPicPr>
                  </pic:nvPicPr>
                  <pic:blipFill>
                    <a:blip r:embed="rId4"/>
                    <a:stretch>
                      <a:fillRect/>
                    </a:stretch>
                  </pic:blipFill>
                  <pic:spPr>
                    <a:xfrm>
                      <a:off x="0" y="0"/>
                      <a:ext cx="5342890" cy="2807335"/>
                    </a:xfrm>
                    <a:prstGeom prst="rect">
                      <a:avLst/>
                    </a:prstGeom>
                    <a:noFill/>
                    <a:ln>
                      <a:noFill/>
                    </a:ln>
                  </pic:spPr>
                </pic:pic>
              </a:graphicData>
            </a:graphic>
          </wp:inline>
        </w:drawing>
      </w:r>
    </w:p>
    <w:p w14:paraId="2CA02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p>
    <w:p w14:paraId="14608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二、公司管理</w:t>
      </w:r>
    </w:p>
    <w:p w14:paraId="1C9E2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公司管理层经过了十多年打磨，组成了有经验，负责任，适应公司发展的管理团队，管理团队各机构的审批权限分明，实行岗位责任制，明确了组织行为的管理者责任、财务责任。</w:t>
      </w:r>
    </w:p>
    <w:p w14:paraId="24CF5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管理层实行扁平化管理的原则，提高工作效率，并使之制度化。公司依据现代企业管理模式，按照生产运营中的各个环节建立相关的责任部门在《部门职责》、《岗位说明书》中，明确了各岗位的权利和责任，公司管理层以部门职责为依据实行授权管理，公司的经营计划、投资方案、年度预决算、主要规章制度、主要岗位人事任免等重大事项由公司董事会集中民主讨论、决策。各部门及生产单位在部门职责的范围内按照公司体系及制度要求开展各项日常工作，同时公司监事会依法对董事会作出的各项决策及其执行情况、公司财务、公司管理层职责履行等情况进行审查及监督。</w:t>
      </w:r>
    </w:p>
    <w:p w14:paraId="099C4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为保障各项生产经营活动都能得到执行并达到预期目标，我们在完善内部分工的基础上初步引进了绩效考核机制，对各职能部门及生产车间均编制了年度部门目标考核责任制，通过对各生产车间、职能部门月度主要绩效指标完成情况的跟踪和汇总来监督各单位的工作完成情况，并制定奖罚措施，奖优罚劣，鼓励各单位积极创新、勇于承担责任，创建公平、公正、公开的内部协助环境。</w:t>
      </w:r>
    </w:p>
    <w:p w14:paraId="4EB67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三、财务责任</w:t>
      </w:r>
    </w:p>
    <w:p w14:paraId="4B512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公司明确高层管理和财务管理部门的权利和责任，确保财务部门筹资、投资、预算、成本控制等财务管理职能和落实财务管理职责，根据公司财务系统制定的方针目标，开展各项工作，确保资产保值增值。</w:t>
      </w:r>
    </w:p>
    <w:p w14:paraId="7BB27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多年来公司严格遵守相关财税法律法规，获得良好的经营业绩，实现资产的保值增值；公司依据《企业会计准则》、《中华人民共和国会计法》 、《财务通则》及其他相关法律法规，逐步建立和完善《财务管理制度》和《财务管理程序文件》，健全公司的财务管理和控制体系，不断建立健全公司的财务管理体系和运作流程，规范财务运作。</w:t>
      </w:r>
    </w:p>
    <w:p w14:paraId="22DB3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四、相关方利益保护</w:t>
      </w:r>
    </w:p>
    <w:p w14:paraId="45983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1.对顾客利益的保护</w:t>
      </w:r>
    </w:p>
    <w:p w14:paraId="1D75F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以满足客户需求为宗旨，不仅为客户提供满足需求和期望的羊绒制品，还根据市场变化情况，与顾客建立良好的沟通机制，并在特殊情况下积极为顾客提供特殊化、个性化的产品和服务，充分保护顾客的利益。公司及时做好售前、售中、售后的各项服务工作，针对特殊客户执行订制服务，同时做好用户的各项服务工作，确保用户正确使用。</w:t>
      </w:r>
    </w:p>
    <w:p w14:paraId="6826F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2. 对供应商的利益保护</w:t>
      </w:r>
    </w:p>
    <w:p w14:paraId="403B6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严格按照采购合同的规定向供应商支付货款，当供应商遇到资金压力时，公司会通过提前付款或预付款的形式对重要供应商进行必要的资金支持；公司还定期组织开展合格供方评价工作，及时分享我们的经验，并提出我们的合理化建议，帮助供方不断提升自身的技术、管理及服务水平。多年来对于供货商的货款均准时支付，从未有拖欠或延迟的状况。</w:t>
      </w:r>
    </w:p>
    <w:p w14:paraId="4DC6C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3. 其他相关利益的保护</w:t>
      </w:r>
    </w:p>
    <w:p w14:paraId="6CBBF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公司依法纳税，积极配合当地政府和其它机构的各项工作，严格遵守各项法律法规，积极投身环保、节能、社会公益事业及慈善事业中去。公司</w:t>
      </w:r>
      <w:r>
        <w:rPr>
          <w:rFonts w:hint="eastAsia" w:ascii="微软雅黑" w:hAnsi="微软雅黑" w:eastAsia="微软雅黑" w:cs="微软雅黑"/>
          <w:i w:val="0"/>
          <w:iCs w:val="0"/>
          <w:caps w:val="0"/>
          <w:color w:val="auto"/>
          <w:spacing w:val="0"/>
          <w:sz w:val="21"/>
          <w:szCs w:val="21"/>
          <w:lang w:val="en-US" w:eastAsia="zh-CN"/>
        </w:rPr>
        <w:t>2024</w:t>
      </w:r>
      <w:r>
        <w:rPr>
          <w:rFonts w:hint="eastAsia" w:ascii="微软雅黑" w:hAnsi="微软雅黑" w:eastAsia="微软雅黑" w:cs="微软雅黑"/>
          <w:i w:val="0"/>
          <w:iCs w:val="0"/>
          <w:caps w:val="0"/>
          <w:color w:val="auto"/>
          <w:spacing w:val="0"/>
          <w:sz w:val="21"/>
          <w:szCs w:val="21"/>
        </w:rPr>
        <w:t>年纳税</w:t>
      </w:r>
      <w:r>
        <w:rPr>
          <w:rFonts w:hint="eastAsia" w:ascii="微软雅黑" w:hAnsi="微软雅黑" w:eastAsia="微软雅黑" w:cs="微软雅黑"/>
          <w:i w:val="0"/>
          <w:iCs w:val="0"/>
          <w:caps w:val="0"/>
          <w:color w:val="000000" w:themeColor="text1"/>
          <w:spacing w:val="0"/>
          <w:sz w:val="21"/>
          <w:szCs w:val="21"/>
          <w:highlight w:val="none"/>
          <w:lang w:val="en-US" w:eastAsia="zh-CN"/>
          <w14:textFill>
            <w14:solidFill>
              <w14:schemeClr w14:val="tx1"/>
            </w14:solidFill>
          </w14:textFill>
        </w:rPr>
        <w:t>964.5</w:t>
      </w: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万</w:t>
      </w:r>
      <w:r>
        <w:rPr>
          <w:rFonts w:hint="eastAsia" w:ascii="微软雅黑" w:hAnsi="微软雅黑" w:eastAsia="微软雅黑" w:cs="微软雅黑"/>
          <w:i w:val="0"/>
          <w:iCs w:val="0"/>
          <w:caps w:val="0"/>
          <w:color w:val="auto"/>
          <w:spacing w:val="0"/>
          <w:sz w:val="21"/>
          <w:szCs w:val="21"/>
        </w:rPr>
        <w:t>元，支持了当地产业发展。</w:t>
      </w:r>
    </w:p>
    <w:p w14:paraId="5EA10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环境保护</w:t>
      </w:r>
    </w:p>
    <w:p w14:paraId="622FE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随着全球经济发展水平的不断提高与能源消耗的大幅提高，环保生产与绿色消费已成为当今世界主要趋势，公司积极投身环保生产，</w:t>
      </w:r>
    </w:p>
    <w:p w14:paraId="3559E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提高员工环保意识，提倡节能降耗，加强环境管理，将环境保护作为公司经济发展的同步目标，积极将公司建设成为环境友好企业。</w:t>
      </w:r>
    </w:p>
    <w:p w14:paraId="1D907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公司于2019年就导入了以ISO 14001为标准的环境管理体系，严格按照标准要求对环境因素及重要环境因素进行控制，在环境保护、能源消耗、资源综合利用等方面持续保持良好势头。</w:t>
      </w:r>
    </w:p>
    <w:p w14:paraId="56AD5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公司每年均有聘请有资质的第三方机构进行环境监测，定期进行三废的检测。并出具相应检测报告确保三废的排放符合标准。</w:t>
      </w:r>
    </w:p>
    <w:p w14:paraId="2081B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公司重视环保责任，公司总经理亲自负责环境管理体系的管理者，建立了《环境管理组织架构图》和《环境管理职能分配表》，规定了各部门与环境管理体系相关的职责权限。</w:t>
      </w:r>
    </w:p>
    <w:p w14:paraId="6816C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识别了生产活动和管理活动产生的环境因素，并将其中的“粉尘、废水、噪声排放、固体废弃物排放”等评估为重要环境因素，对各重要环境因素分别建立和运行了控制程序和控制准则，同时对控制过程实施监视测量，确保控制目标的达成。</w:t>
      </w:r>
    </w:p>
    <w:p w14:paraId="7D8C7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公司通过环境管理体系的运行，向顾客及其他相关方提供这样的信息：“一个能对环境负责的企业，它的产品和服务一定能对用户负责，让用户满意”；“公司的关注点，已不仅仅是质量，而是对人类的责任”。</w:t>
      </w:r>
    </w:p>
    <w:p w14:paraId="7BC17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职业健康安全管理</w:t>
      </w:r>
    </w:p>
    <w:p w14:paraId="6A226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为了控制和降低职业健康安全风险，持续改进组织的职业健康安全管理绩效，调动员工的生产积极性，满足顾客及其他相关方的需求和期望，改善政府、企业和员工三者之间的关系，更好地承担公司的社会责任，提高公司社会效益和经济效益。公司已导入了以ISO45001为标准的职业健康安全管理体系，并通过了认证。公司对职业病危害岗位从业人员，每年组织有资质的医疗机构进行职业病体检，严格落实员工上岗前和离岗前职业病体检检查，并建立健全职业卫生从业人员监护档案。</w:t>
      </w:r>
    </w:p>
    <w:p w14:paraId="26274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任命了副总经理为职业健康安全管理体系的管理者代表，组织选举了负责员工职业健康安全事务的员工代表，建立了《职业健康安全管理组织架构图》和《职业健康安全管理职能分配表》，规定了各部门与职业健康安全管理体系相关的职责权限。</w:t>
      </w:r>
    </w:p>
    <w:p w14:paraId="6BAB9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公司对新入职员工积极进行入职培训，岗前培训，《三级安全教育》，确保员工上岗前明确安全职责，明确危险源，入岗之后紧绷安全的弦。</w:t>
      </w:r>
    </w:p>
    <w:p w14:paraId="53762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公司建立了职业健康安全管理的宗旨即职业健康安全管理方针“依法管理，以人为本；预防为主，持续改进”，以及相关的职业健康安全管理目标，包括“1. 重特大安全事故、火灾事故为零；2. 有效控制职业病”等。</w:t>
      </w:r>
    </w:p>
    <w:p w14:paraId="594EB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公司识别了生产活动和管理活动产生的危险源，通过有效地运行控制方案达成目标，为了保持目标又建立了控制程序和控制准则，同时对控制过程实施监视测量，确保控制目标的达成。</w:t>
      </w:r>
    </w:p>
    <w:p w14:paraId="1E505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通过职业健康安全管理体系的运行，向顾客及其他相关方提供这样的信息：“导入职业安全健康管理体系，将有助于确保员工的安全和健康，有助于减少健康与安全所带来的损失，支持职业安全健康在整个公司内及所有供方及承包方取得良好绩效;有助于改善管理水平，分享企业社会责任和可持续发展的社会要素所发挥的作用。</w:t>
      </w:r>
    </w:p>
    <w:p w14:paraId="58DD7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近年来，职业健康安全管理的绩效良好。详见下方表格和情况说明：</w:t>
      </w:r>
    </w:p>
    <w:p w14:paraId="5B9BA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t>2022</w:t>
      </w: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年～20</w:t>
      </w:r>
      <w: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t>24</w:t>
      </w:r>
      <w:r>
        <w:rPr>
          <w:rFonts w:hint="eastAsia" w:ascii="微软雅黑" w:hAnsi="微软雅黑" w:eastAsia="微软雅黑" w:cs="微软雅黑"/>
          <w:i w:val="0"/>
          <w:iCs w:val="0"/>
          <w:caps w:val="0"/>
          <w:color w:val="auto"/>
          <w:spacing w:val="0"/>
          <w:sz w:val="21"/>
          <w:szCs w:val="21"/>
        </w:rPr>
        <w:t>年环境安全主要指标达成情况</w:t>
      </w:r>
    </w:p>
    <w:tbl>
      <w:tblPr>
        <w:tblStyle w:val="3"/>
        <w:tblW w:w="727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88"/>
        <w:gridCol w:w="2691"/>
        <w:gridCol w:w="898"/>
        <w:gridCol w:w="898"/>
        <w:gridCol w:w="898"/>
      </w:tblGrid>
      <w:tr w14:paraId="13E6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tcBorders>
              <w:top w:val="single" w:color="auto" w:sz="8" w:space="0"/>
              <w:left w:val="single" w:color="auto" w:sz="8" w:space="0"/>
              <w:bottom w:val="single" w:color="auto" w:sz="8" w:space="0"/>
              <w:right w:val="single" w:color="auto" w:sz="8" w:space="0"/>
            </w:tcBorders>
            <w:shd w:val="clear" w:color="auto" w:fill="003366"/>
            <w:vAlign w:val="center"/>
          </w:tcPr>
          <w:p w14:paraId="373A4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指标</w:t>
            </w:r>
          </w:p>
        </w:tc>
        <w:tc>
          <w:tcPr>
            <w:tcW w:w="2547" w:type="dxa"/>
            <w:tcBorders>
              <w:top w:val="single" w:color="auto" w:sz="8" w:space="0"/>
              <w:left w:val="single" w:color="auto" w:sz="8" w:space="0"/>
              <w:bottom w:val="single" w:color="auto" w:sz="8" w:space="0"/>
              <w:right w:val="single" w:color="auto" w:sz="8" w:space="0"/>
            </w:tcBorders>
            <w:shd w:val="clear" w:color="auto" w:fill="003366"/>
            <w:vAlign w:val="center"/>
          </w:tcPr>
          <w:p w14:paraId="4FEA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项目</w:t>
            </w:r>
          </w:p>
        </w:tc>
        <w:tc>
          <w:tcPr>
            <w:tcW w:w="850" w:type="dxa"/>
            <w:tcBorders>
              <w:top w:val="single" w:color="auto" w:sz="8" w:space="0"/>
              <w:left w:val="single" w:color="auto" w:sz="8" w:space="0"/>
              <w:bottom w:val="single" w:color="auto" w:sz="8" w:space="0"/>
              <w:right w:val="single" w:color="auto" w:sz="8" w:space="0"/>
            </w:tcBorders>
            <w:shd w:val="clear" w:color="auto" w:fill="003366"/>
            <w:vAlign w:val="center"/>
          </w:tcPr>
          <w:p w14:paraId="3E797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年</w:t>
            </w:r>
          </w:p>
        </w:tc>
        <w:tc>
          <w:tcPr>
            <w:tcW w:w="850" w:type="dxa"/>
            <w:tcBorders>
              <w:top w:val="single" w:color="auto" w:sz="8" w:space="0"/>
              <w:left w:val="single" w:color="auto" w:sz="8" w:space="0"/>
              <w:bottom w:val="single" w:color="auto" w:sz="8" w:space="0"/>
              <w:right w:val="single" w:color="auto" w:sz="8" w:space="0"/>
            </w:tcBorders>
            <w:shd w:val="clear" w:color="auto" w:fill="003366"/>
            <w:vAlign w:val="center"/>
          </w:tcPr>
          <w:p w14:paraId="6D9D9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年</w:t>
            </w:r>
          </w:p>
        </w:tc>
        <w:tc>
          <w:tcPr>
            <w:tcW w:w="850" w:type="dxa"/>
            <w:tcBorders>
              <w:top w:val="single" w:color="auto" w:sz="8" w:space="0"/>
              <w:left w:val="single" w:color="auto" w:sz="8" w:space="0"/>
              <w:bottom w:val="single" w:color="auto" w:sz="8" w:space="0"/>
              <w:right w:val="single" w:color="auto" w:sz="8" w:space="0"/>
            </w:tcBorders>
            <w:shd w:val="clear" w:color="auto" w:fill="003366"/>
            <w:vAlign w:val="center"/>
          </w:tcPr>
          <w:p w14:paraId="44C5A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2024</w:t>
            </w:r>
          </w:p>
        </w:tc>
      </w:tr>
      <w:tr w14:paraId="2E9A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tcBorders>
              <w:top w:val="single" w:color="auto" w:sz="8" w:space="0"/>
              <w:left w:val="single" w:color="auto" w:sz="8" w:space="0"/>
              <w:bottom w:val="single" w:color="auto" w:sz="8" w:space="0"/>
              <w:right w:val="single" w:color="auto" w:sz="8" w:space="0"/>
            </w:tcBorders>
            <w:shd w:val="clear" w:color="auto" w:fill="auto"/>
            <w:vAlign w:val="center"/>
          </w:tcPr>
          <w:p w14:paraId="30BCE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环境保护（噪音、粉尘、固废、污水）</w:t>
            </w: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6B41F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环保指标达标率（%）</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CFE8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4FCE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7310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100</w:t>
            </w:r>
          </w:p>
        </w:tc>
      </w:tr>
      <w:tr w14:paraId="05A4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7D64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安全生产管理</w:t>
            </w: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6AA59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重大隐患整改率（%）</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1CD6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7EF6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60DF0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r w14:paraId="6C4E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4CB239D">
            <w:pPr>
              <w:rPr>
                <w:rFonts w:hint="eastAsia" w:ascii="宋体"/>
                <w:color w:val="auto"/>
                <w:sz w:val="21"/>
                <w:szCs w:val="21"/>
              </w:rPr>
            </w:pP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51407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一般隐患整改率（%）</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5374A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FA29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9819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100</w:t>
            </w:r>
          </w:p>
        </w:tc>
      </w:tr>
      <w:tr w14:paraId="4267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17B5735">
            <w:pPr>
              <w:rPr>
                <w:rFonts w:hint="eastAsia" w:ascii="宋体"/>
                <w:color w:val="auto"/>
                <w:sz w:val="21"/>
                <w:szCs w:val="21"/>
              </w:rPr>
            </w:pP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7EA8C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安全教育受训率（%）</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5167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65909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100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1948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100</w:t>
            </w:r>
          </w:p>
        </w:tc>
      </w:tr>
      <w:tr w14:paraId="14C3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BCBDDA">
            <w:pPr>
              <w:rPr>
                <w:rFonts w:hint="eastAsia" w:ascii="宋体"/>
                <w:color w:val="auto"/>
                <w:sz w:val="21"/>
                <w:szCs w:val="21"/>
              </w:rPr>
            </w:pP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6B0ED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火灾、爆炸事故（起）</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A0EC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8E64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61D99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0</w:t>
            </w:r>
          </w:p>
        </w:tc>
      </w:tr>
      <w:tr w14:paraId="036A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5A5EEB1">
            <w:pPr>
              <w:rPr>
                <w:rFonts w:hint="eastAsia" w:ascii="宋体"/>
                <w:color w:val="auto"/>
                <w:sz w:val="21"/>
                <w:szCs w:val="21"/>
              </w:rPr>
            </w:pP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546F9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安全生产事故数（起）</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C1A2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F891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661D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0</w:t>
            </w:r>
          </w:p>
        </w:tc>
      </w:tr>
      <w:tr w14:paraId="4A3F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blCellSpacing w:w="0" w:type="dxa"/>
          <w:jc w:val="center"/>
        </w:trPr>
        <w:tc>
          <w:tcPr>
            <w:tcW w:w="178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9A58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职业健康管理</w:t>
            </w: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02C09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职业病和职业危害事故（起）</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67B3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56FA0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51F0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0</w:t>
            </w:r>
          </w:p>
        </w:tc>
      </w:tr>
      <w:tr w14:paraId="66FA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F69A16A">
            <w:pPr>
              <w:rPr>
                <w:rFonts w:hint="eastAsia" w:ascii="宋体"/>
                <w:color w:val="auto"/>
                <w:sz w:val="21"/>
                <w:szCs w:val="21"/>
              </w:rPr>
            </w:pPr>
          </w:p>
        </w:tc>
        <w:tc>
          <w:tcPr>
            <w:tcW w:w="2547" w:type="dxa"/>
            <w:tcBorders>
              <w:top w:val="single" w:color="auto" w:sz="8" w:space="0"/>
              <w:left w:val="single" w:color="auto" w:sz="8" w:space="0"/>
              <w:bottom w:val="single" w:color="auto" w:sz="8" w:space="0"/>
              <w:right w:val="single" w:color="auto" w:sz="8" w:space="0"/>
            </w:tcBorders>
            <w:shd w:val="clear" w:color="auto" w:fill="auto"/>
            <w:vAlign w:val="center"/>
          </w:tcPr>
          <w:p w14:paraId="378CD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重大工伤事故（起）</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A6AE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37755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5B1C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auto"/>
                <w:kern w:val="0"/>
                <w:sz w:val="21"/>
                <w:szCs w:val="21"/>
                <w:lang w:val="en-US" w:eastAsia="zh-CN" w:bidi="ar"/>
              </w:rPr>
            </w:pPr>
            <w:r>
              <w:rPr>
                <w:rFonts w:hint="eastAsia" w:ascii="宋体" w:hAnsi="宋体" w:eastAsia="宋体" w:cs="宋体"/>
                <w:color w:val="auto"/>
                <w:sz w:val="21"/>
                <w:szCs w:val="21"/>
              </w:rPr>
              <w:t>0</w:t>
            </w:r>
          </w:p>
        </w:tc>
      </w:tr>
    </w:tbl>
    <w:p w14:paraId="71B30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0A78F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员工发展</w:t>
      </w:r>
    </w:p>
    <w:p w14:paraId="5590A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公司认识到企业发展，人才是关键，公司坚持“唯才是用、唯德重用”的 用人理念，坚持“有德有才、破格重用；有德无才、培养录用；无德有才、限制录用；无德无才、坚决不用”的选才原则。同时在维护和保障员工的利益，公司建立了规范的行政管理体系，并不断完善薪酬及激励机制，对工作和职位 进行组织和管理，以应对战略、满足实施计划，对业务变化作出快速灵活反应，促进组织内部的合作，公司坚持“招好人、用好人、留好人”，实现公司与员工的共同发展。</w:t>
      </w:r>
    </w:p>
    <w:p w14:paraId="7EBD8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公司通过建立人力资源管理系统，将人力资源作为公司最重要的资源来实施系统化管理，通过日常关爱员工、培训员工、组织员工进行团建等行动，增强员工凝聚力、储备公司人才、培养员工责任感。</w:t>
      </w:r>
    </w:p>
    <w:p w14:paraId="24F86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1. </w:t>
      </w:r>
      <w:r>
        <w:rPr>
          <w:rFonts w:hint="eastAsia" w:ascii="微软雅黑" w:hAnsi="微软雅黑" w:eastAsia="微软雅黑" w:cs="微软雅黑"/>
          <w:b/>
          <w:bCs/>
          <w:i w:val="0"/>
          <w:iCs w:val="0"/>
          <w:caps w:val="0"/>
          <w:color w:val="auto"/>
          <w:spacing w:val="0"/>
          <w:sz w:val="21"/>
          <w:szCs w:val="21"/>
        </w:rPr>
        <w:t>员工主动参与</w:t>
      </w:r>
    </w:p>
    <w:p w14:paraId="20629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通过建立晋升制度与奖励，为员工提供了参与创造平台。公司建立了“全员创新机制”，通过对员工的工艺改进，效率增加，凡有提交技术创新，经过具体实践，发现工作效率产品质量，有相应的提升，公司都将按照具体指标进行资金、待遇、培训等奖励。公司每年会对优秀员工，颁发奖状，根据实际情况结合民主投票，给与表现出色的员工晋升、和以资鼓励的机会，吸引员工主动参与。</w:t>
      </w:r>
    </w:p>
    <w:p w14:paraId="63D7E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2.温情关怀</w:t>
      </w:r>
    </w:p>
    <w:p w14:paraId="3129B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实行全员劳动合同制，为员工缴纳“五险一金”、发放工作服、劳保用品，每逢元旦、五一、中秋、国庆、春节等节日期间组织集体活动、并发放礼品或礼金，定期组织健康体检，为中高层管理人员及部分特殊岗位人员报销话费及提供油补。公司从劳动（集体）合同、职业安全卫生、员工民主管理、工资福利待遇、 女职工保护、职业教育、劳动争议调解等方面共制定了管理制度。针对不同员工群体，充分了解个性化需求，提供多样化支持，切实保障员工的合法权益，维护稳定和谐的劳动关系，旨在建立德、智、体全面发展的长久企业。</w:t>
      </w:r>
    </w:p>
    <w:p w14:paraId="31342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2. </w:t>
      </w:r>
      <w:r>
        <w:rPr>
          <w:rFonts w:hint="eastAsia" w:ascii="微软雅黑" w:hAnsi="微软雅黑" w:eastAsia="微软雅黑" w:cs="微软雅黑"/>
          <w:b/>
          <w:bCs/>
          <w:i w:val="0"/>
          <w:iCs w:val="0"/>
          <w:caps w:val="0"/>
          <w:color w:val="auto"/>
          <w:spacing w:val="0"/>
          <w:sz w:val="21"/>
          <w:szCs w:val="21"/>
        </w:rPr>
        <w:t>员工的学习和发展</w:t>
      </w:r>
    </w:p>
    <w:p w14:paraId="51CDB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公司将员工学习和发展视为“投资”，把创建学习型组织，营造全员学习的氛围作为公司长期发展战略的重要组成部分。</w:t>
      </w:r>
    </w:p>
    <w:p w14:paraId="40AAC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加强人才成长环境建设。坚持尊重劳动、尊重知识、尊重人才、尊重创造，努力为各类人才的成长营造良好的制度环境、文化环境和舆论环境和生活环境。</w:t>
      </w:r>
    </w:p>
    <w:p w14:paraId="719A1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对于员工开展的教育和培训活动内容，主要由“新员工上岗培训、专业化培训、再教育培训、中高层管理人员培训、决策领导层培养”五个层次组成。公司已将员工培训工作上升到人才培养的高度，紧紧围绕“培养自己需要的人才”这一目标，结合每年年底各部门上报的培训需求，于每年年初制定公司的《年度培训计划》，对培训目的、培训内容、培训对象、时间、培训方式等做出具体明确的要求。 </w:t>
      </w:r>
    </w:p>
    <w:p w14:paraId="67F0B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i w:val="0"/>
          <w:iCs w:val="0"/>
          <w:caps w:val="0"/>
          <w:color w:val="auto"/>
          <w:spacing w:val="0"/>
          <w:sz w:val="21"/>
          <w:szCs w:val="21"/>
        </w:rPr>
        <w:t>3. </w:t>
      </w:r>
      <w:r>
        <w:rPr>
          <w:rFonts w:hint="eastAsia" w:ascii="微软雅黑" w:hAnsi="微软雅黑" w:eastAsia="微软雅黑" w:cs="微软雅黑"/>
          <w:b/>
          <w:bCs/>
          <w:i w:val="0"/>
          <w:iCs w:val="0"/>
          <w:caps w:val="0"/>
          <w:color w:val="auto"/>
          <w:spacing w:val="0"/>
          <w:sz w:val="21"/>
          <w:szCs w:val="21"/>
        </w:rPr>
        <w:t>员工权益保护</w:t>
      </w:r>
    </w:p>
    <w:p w14:paraId="7D36B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公司认真贯彻执行《中华人民共和国劳动法》《中华人民共和国劳动合同法》《中华人民共和国安全生产法》《中华人民共和国职业病防治法》等法律法规，通过</w:t>
      </w: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ISO14001环境管理体系及ISO45001职业健康安全管理体系，并</w:t>
      </w:r>
      <w:r>
        <w:rPr>
          <w:rFonts w:hint="eastAsia" w:ascii="微软雅黑" w:hAnsi="微软雅黑" w:eastAsia="微软雅黑" w:cs="微软雅黑"/>
          <w:i w:val="0"/>
          <w:iCs w:val="0"/>
          <w:caps w:val="0"/>
          <w:color w:val="auto"/>
          <w:spacing w:val="0"/>
          <w:sz w:val="21"/>
          <w:szCs w:val="21"/>
        </w:rPr>
        <w:t>有效运行，不断改善员工工作环境中的职业健康安全条件。通过加强对员工的安全生产教育宣传，使员工建立安全生产意识，并通过入职培训、岗位培训、转岗培训等专题培训使员工充分了解如何做到安全生产保持健康工作环境。</w:t>
      </w:r>
    </w:p>
    <w:p w14:paraId="0007F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为确保对工作场所可能发生的紧急状态和危险情况，公司制定了应对各类突发事件的应急预案，如《火灾事故应急预案》、《突发事故应急预案》等涵盖了自然灾害、火灾的应急管理、人员伤害事故等各方面的应急管理。同时，公司加强对全体员工的安全教育培训，每年不定期进行应急预案演习，并作演习效果评估，对演习中存在的问题进行改进，不断提高公司的应急能力及员工处理各种紧急情况的能力。</w:t>
      </w:r>
    </w:p>
    <w:p w14:paraId="5D08A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rPr>
          <w:color w:val="auto"/>
          <w:sz w:val="21"/>
          <w:szCs w:val="21"/>
        </w:rPr>
      </w:pPr>
      <w:r>
        <w:rPr>
          <w:rFonts w:hint="eastAsia" w:ascii="微软雅黑" w:hAnsi="微软雅黑" w:eastAsia="微软雅黑" w:cs="微软雅黑"/>
          <w:i w:val="0"/>
          <w:iCs w:val="0"/>
          <w:caps w:val="0"/>
          <w:color w:val="auto"/>
          <w:spacing w:val="0"/>
          <w:sz w:val="21"/>
          <w:szCs w:val="21"/>
        </w:rPr>
        <w:t>公司努力为员工创造和谐良好的工作氛围和环境。为此公司积极开展企业文化建设，丰富员工工作和业余生活，构造和谐工作环境，激发员工爱心、积极性和创造性，提高了员工的满意和忠诚，促进公司和谐发展。 </w:t>
      </w:r>
    </w:p>
    <w:p w14:paraId="1AB68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 </w:t>
      </w:r>
    </w:p>
    <w:p w14:paraId="514B2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1"/>
          <w:szCs w:val="21"/>
        </w:rPr>
      </w:pPr>
      <w:r>
        <w:rPr>
          <w:rFonts w:hint="eastAsia" w:ascii="微软雅黑" w:hAnsi="微软雅黑" w:eastAsia="微软雅黑" w:cs="微软雅黑"/>
          <w:b/>
          <w:bCs/>
          <w:i w:val="0"/>
          <w:iCs w:val="0"/>
          <w:caps w:val="0"/>
          <w:color w:val="auto"/>
          <w:spacing w:val="0"/>
          <w:sz w:val="21"/>
          <w:szCs w:val="21"/>
        </w:rPr>
        <w:t>服务社会</w:t>
      </w:r>
    </w:p>
    <w:p w14:paraId="4A90E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color w:val="auto"/>
          <w:sz w:val="21"/>
          <w:szCs w:val="21"/>
        </w:rPr>
      </w:pPr>
      <w:r>
        <w:rPr>
          <w:rFonts w:hint="eastAsia" w:ascii="微软雅黑" w:hAnsi="微软雅黑" w:eastAsia="微软雅黑" w:cs="微软雅黑"/>
          <w:i w:val="0"/>
          <w:iCs w:val="0"/>
          <w:caps w:val="0"/>
          <w:color w:val="auto"/>
          <w:spacing w:val="0"/>
          <w:sz w:val="21"/>
          <w:szCs w:val="21"/>
        </w:rPr>
        <w:t>公司在发展的同时不忘回馈社会，逐步建设形成了“公司为主、党委牵头、全员参与、注重实效”的公益慈善体系，多年来开展了多种形式的公益活动。</w:t>
      </w:r>
    </w:p>
    <w:tbl>
      <w:tblPr>
        <w:tblStyle w:val="3"/>
        <w:tblW w:w="7421"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3"/>
        <w:gridCol w:w="5528"/>
      </w:tblGrid>
      <w:tr w14:paraId="4541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93" w:type="dxa"/>
            <w:tcBorders>
              <w:top w:val="single" w:color="auto" w:sz="8" w:space="0"/>
              <w:left w:val="single" w:color="auto" w:sz="8" w:space="0"/>
              <w:bottom w:val="single" w:color="auto" w:sz="8" w:space="0"/>
              <w:right w:val="single" w:color="auto" w:sz="8" w:space="0"/>
            </w:tcBorders>
            <w:shd w:val="clear" w:color="auto" w:fill="800080"/>
            <w:vAlign w:val="center"/>
          </w:tcPr>
          <w:p w14:paraId="6C41D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支持领域名称</w:t>
            </w:r>
          </w:p>
        </w:tc>
        <w:tc>
          <w:tcPr>
            <w:tcW w:w="5528" w:type="dxa"/>
            <w:tcBorders>
              <w:top w:val="single" w:color="auto" w:sz="8" w:space="0"/>
              <w:left w:val="single" w:color="auto" w:sz="8" w:space="0"/>
              <w:bottom w:val="single" w:color="auto" w:sz="8" w:space="0"/>
              <w:right w:val="single" w:color="auto" w:sz="8" w:space="0"/>
            </w:tcBorders>
            <w:shd w:val="clear" w:color="auto" w:fill="800080"/>
            <w:vAlign w:val="center"/>
          </w:tcPr>
          <w:p w14:paraId="01B03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b/>
                <w:bCs/>
                <w:color w:val="auto"/>
                <w:sz w:val="24"/>
                <w:szCs w:val="24"/>
              </w:rPr>
              <w:t>支持内容</w:t>
            </w:r>
          </w:p>
        </w:tc>
      </w:tr>
      <w:tr w14:paraId="1DC2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93" w:type="dxa"/>
            <w:tcBorders>
              <w:top w:val="single" w:color="auto" w:sz="8" w:space="0"/>
              <w:left w:val="single" w:color="auto" w:sz="8" w:space="0"/>
              <w:bottom w:val="single" w:color="auto" w:sz="8" w:space="0"/>
              <w:right w:val="single" w:color="auto" w:sz="8" w:space="0"/>
            </w:tcBorders>
            <w:shd w:val="clear" w:color="auto" w:fill="auto"/>
            <w:vAlign w:val="center"/>
          </w:tcPr>
          <w:p w14:paraId="1F62B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w:t>
            </w:r>
          </w:p>
        </w:tc>
        <w:tc>
          <w:tcPr>
            <w:tcW w:w="5528" w:type="dxa"/>
            <w:tcBorders>
              <w:top w:val="single" w:color="auto" w:sz="8" w:space="0"/>
              <w:left w:val="single" w:color="auto" w:sz="8" w:space="0"/>
              <w:bottom w:val="single" w:color="auto" w:sz="8" w:space="0"/>
              <w:right w:val="single" w:color="auto" w:sz="8" w:space="0"/>
            </w:tcBorders>
            <w:shd w:val="clear" w:color="auto" w:fill="auto"/>
            <w:vAlign w:val="center"/>
          </w:tcPr>
          <w:p w14:paraId="52643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lang w:val="en-US" w:eastAsia="zh-CN"/>
              </w:rPr>
              <w:t>不定期组织公司员工无偿献血。</w:t>
            </w:r>
            <w:r>
              <w:rPr>
                <w:rFonts w:hint="eastAsia" w:ascii="宋体" w:hAnsi="宋体" w:eastAsia="宋体" w:cs="宋体"/>
                <w:color w:val="auto"/>
                <w:sz w:val="21"/>
                <w:szCs w:val="21"/>
              </w:rPr>
              <w:t xml:space="preserve">     </w:t>
            </w:r>
          </w:p>
        </w:tc>
      </w:tr>
      <w:tr w14:paraId="3931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93" w:type="dxa"/>
            <w:tcBorders>
              <w:top w:val="single" w:color="auto" w:sz="8" w:space="0"/>
              <w:left w:val="single" w:color="auto" w:sz="8" w:space="0"/>
              <w:bottom w:val="single" w:color="auto" w:sz="8" w:space="0"/>
              <w:right w:val="single" w:color="auto" w:sz="8" w:space="0"/>
            </w:tcBorders>
            <w:shd w:val="clear" w:color="auto" w:fill="auto"/>
            <w:vAlign w:val="center"/>
          </w:tcPr>
          <w:p w14:paraId="3DB1E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捐款</w:t>
            </w:r>
          </w:p>
        </w:tc>
        <w:tc>
          <w:tcPr>
            <w:tcW w:w="5528" w:type="dxa"/>
            <w:tcBorders>
              <w:top w:val="single" w:color="auto" w:sz="8" w:space="0"/>
              <w:left w:val="single" w:color="auto" w:sz="8" w:space="0"/>
              <w:bottom w:val="single" w:color="auto" w:sz="8" w:space="0"/>
              <w:right w:val="single" w:color="auto" w:sz="8" w:space="0"/>
            </w:tcBorders>
            <w:shd w:val="clear" w:color="auto" w:fill="auto"/>
            <w:vAlign w:val="center"/>
          </w:tcPr>
          <w:p w14:paraId="10E08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每年向吴兴区慈善总会捐款，救灾扶贫、困难家庭救助。</w:t>
            </w:r>
          </w:p>
        </w:tc>
      </w:tr>
      <w:tr w14:paraId="73C1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93" w:type="dxa"/>
            <w:tcBorders>
              <w:top w:val="single" w:color="auto" w:sz="12" w:space="0"/>
              <w:left w:val="single" w:color="auto" w:sz="12" w:space="0"/>
              <w:bottom w:val="single" w:color="auto" w:sz="12" w:space="0"/>
              <w:right w:val="single" w:color="auto" w:sz="12" w:space="0"/>
            </w:tcBorders>
            <w:shd w:val="clear" w:color="auto" w:fill="auto"/>
            <w:vAlign w:val="center"/>
          </w:tcPr>
          <w:p w14:paraId="27B4B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员工关怀</w:t>
            </w:r>
          </w:p>
        </w:tc>
        <w:tc>
          <w:tcPr>
            <w:tcW w:w="5528" w:type="dxa"/>
            <w:tcBorders>
              <w:top w:val="single" w:color="auto" w:sz="12" w:space="0"/>
              <w:left w:val="single" w:color="auto" w:sz="12" w:space="0"/>
              <w:bottom w:val="single" w:color="auto" w:sz="12" w:space="0"/>
              <w:right w:val="single" w:color="auto" w:sz="12" w:space="0"/>
            </w:tcBorders>
            <w:shd w:val="clear" w:color="auto" w:fill="auto"/>
            <w:vAlign w:val="center"/>
          </w:tcPr>
          <w:p w14:paraId="01ED9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夏季为员工送清凉饮料，定期体检。</w:t>
            </w:r>
          </w:p>
        </w:tc>
      </w:tr>
    </w:tbl>
    <w:p w14:paraId="19EC7A8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DFkNzM1YWM4MzUzMWU5YTI1OGQ2MDhhMmI0YjMifQ=="/>
  </w:docVars>
  <w:rsids>
    <w:rsidRoot w:val="430B0D07"/>
    <w:rsid w:val="0B5520EE"/>
    <w:rsid w:val="120543D4"/>
    <w:rsid w:val="17F37108"/>
    <w:rsid w:val="1A3D4E3A"/>
    <w:rsid w:val="1A452D07"/>
    <w:rsid w:val="1A6A1731"/>
    <w:rsid w:val="1A9B10E8"/>
    <w:rsid w:val="1C6D7D1A"/>
    <w:rsid w:val="1CE8366B"/>
    <w:rsid w:val="25B476B1"/>
    <w:rsid w:val="25C1100C"/>
    <w:rsid w:val="289E3886"/>
    <w:rsid w:val="29B7231E"/>
    <w:rsid w:val="2B2A0C84"/>
    <w:rsid w:val="2D631113"/>
    <w:rsid w:val="31467695"/>
    <w:rsid w:val="331F42A1"/>
    <w:rsid w:val="35DE52C2"/>
    <w:rsid w:val="377C4D93"/>
    <w:rsid w:val="3A0E084F"/>
    <w:rsid w:val="3A1D0A28"/>
    <w:rsid w:val="3E90381A"/>
    <w:rsid w:val="430B0D07"/>
    <w:rsid w:val="46FD7572"/>
    <w:rsid w:val="47745A86"/>
    <w:rsid w:val="48653621"/>
    <w:rsid w:val="49283CDA"/>
    <w:rsid w:val="49581166"/>
    <w:rsid w:val="4B955791"/>
    <w:rsid w:val="4C1550E2"/>
    <w:rsid w:val="51C615D4"/>
    <w:rsid w:val="53217860"/>
    <w:rsid w:val="563411BD"/>
    <w:rsid w:val="5A9F7558"/>
    <w:rsid w:val="5B7756EE"/>
    <w:rsid w:val="5C34293A"/>
    <w:rsid w:val="5E8343A9"/>
    <w:rsid w:val="5FA56CCD"/>
    <w:rsid w:val="60DF620F"/>
    <w:rsid w:val="6359059E"/>
    <w:rsid w:val="65191786"/>
    <w:rsid w:val="65C3459C"/>
    <w:rsid w:val="67F3434E"/>
    <w:rsid w:val="6FD60107"/>
    <w:rsid w:val="75E654F2"/>
    <w:rsid w:val="7BF546E1"/>
    <w:rsid w:val="7E65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6862</Words>
  <Characters>7069</Characters>
  <Lines>0</Lines>
  <Paragraphs>0</Paragraphs>
  <TotalTime>6</TotalTime>
  <ScaleCrop>false</ScaleCrop>
  <LinksUpToDate>false</LinksUpToDate>
  <CharactersWithSpaces>7185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2021-12-21T01:06:00Z</dcterms:created>
  <dc:creator>宁&amp;扬</dc:creator>
  <cp:lastModifiedBy>Administrator</cp:lastModifiedBy>
  <dcterms:modified xsi:type="dcterms:W3CDTF">2025-04-23T05:08:57Z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4285EF7450D64441AC4137313D035159</vt:lpwstr>
  </property>
  <property fmtid="{D5CDD505-2E9C-101B-9397-08002B2CF9AE}" pid="4" name="KSOTemplateDocerSaveRecord">
    <vt:lpwstr>eyJoZGlkIjoiZTBlMDFkNzM1YWM4MzUzMWU5YTI1OGQ2MDhhMmI0YjMifQ==</vt:lpwstr>
  </property>
</Properties>
</file>